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5"/>
        <w:gridCol w:w="5302"/>
      </w:tblGrid>
      <w:tr w:rsidR="000D61D2">
        <w:trPr>
          <w:trHeight w:val="115"/>
        </w:trPr>
        <w:tc>
          <w:tcPr>
            <w:tcW w:w="9027" w:type="dxa"/>
            <w:gridSpan w:val="2"/>
          </w:tcPr>
          <w:p w:rsidR="000D61D2" w:rsidRDefault="000D61D2">
            <w:bookmarkStart w:id="0" w:name="_GoBack"/>
            <w:bookmarkEnd w:id="0"/>
          </w:p>
        </w:tc>
      </w:tr>
      <w:tr w:rsidR="000D61D2">
        <w:trPr>
          <w:trHeight w:val="165"/>
        </w:trPr>
        <w:tc>
          <w:tcPr>
            <w:tcW w:w="9027" w:type="dxa"/>
            <w:gridSpan w:val="2"/>
            <w:shd w:val="clear" w:color="FFFFFF" w:fill="FFFFFF"/>
          </w:tcPr>
          <w:p w:rsidR="000D61D2" w:rsidRDefault="001A00CF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ДОКЛАД</w:t>
            </w:r>
          </w:p>
        </w:tc>
      </w:tr>
      <w:tr w:rsidR="000D61D2">
        <w:trPr>
          <w:trHeight w:val="1576"/>
        </w:trPr>
        <w:tc>
          <w:tcPr>
            <w:tcW w:w="9027" w:type="dxa"/>
            <w:gridSpan w:val="2"/>
            <w:shd w:val="clear" w:color="FFFFFF" w:fill="FFFFFF"/>
            <w:vAlign w:val="bottom"/>
          </w:tcPr>
          <w:p w:rsidR="000D61D2" w:rsidRDefault="001A00C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32"/>
              </w:rPr>
              <w:t>главы администрации</w:t>
            </w:r>
          </w:p>
          <w:p w:rsidR="000D61D2" w:rsidRDefault="001A00C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32"/>
              </w:rPr>
              <w:t xml:space="preserve">муниципального района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32"/>
              </w:rPr>
              <w:t xml:space="preserve">«Чернянский район» </w:t>
            </w:r>
          </w:p>
          <w:p w:rsidR="000D61D2" w:rsidRDefault="001A00C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32"/>
              </w:rPr>
              <w:t>Белгородской области</w:t>
            </w:r>
          </w:p>
          <w:p w:rsidR="000D61D2" w:rsidRDefault="000D61D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32"/>
                <w:szCs w:val="32"/>
              </w:rPr>
            </w:pPr>
          </w:p>
        </w:tc>
      </w:tr>
      <w:tr w:rsidR="000D61D2">
        <w:trPr>
          <w:trHeight w:val="459"/>
        </w:trPr>
        <w:tc>
          <w:tcPr>
            <w:tcW w:w="9027" w:type="dxa"/>
            <w:gridSpan w:val="2"/>
            <w:shd w:val="clear" w:color="FFFFFF" w:fill="FFFFFF"/>
          </w:tcPr>
          <w:p w:rsidR="000D61D2" w:rsidRDefault="001A00CF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32"/>
              </w:rPr>
              <w:t>Морозова Сергея Анатольевича</w:t>
            </w:r>
          </w:p>
        </w:tc>
      </w:tr>
      <w:tr w:rsidR="000D61D2">
        <w:trPr>
          <w:trHeight w:val="444"/>
        </w:trPr>
        <w:tc>
          <w:tcPr>
            <w:tcW w:w="9027" w:type="dxa"/>
            <w:gridSpan w:val="2"/>
            <w:shd w:val="clear" w:color="FFFFFF" w:fill="FFFFFF"/>
          </w:tcPr>
          <w:p w:rsidR="000D61D2" w:rsidRDefault="000D61D2"/>
        </w:tc>
      </w:tr>
      <w:tr w:rsidR="000D61D2">
        <w:trPr>
          <w:trHeight w:val="1476"/>
        </w:trPr>
        <w:tc>
          <w:tcPr>
            <w:tcW w:w="9027" w:type="dxa"/>
            <w:gridSpan w:val="2"/>
            <w:shd w:val="clear" w:color="FFFFFF" w:fill="FFFFFF"/>
            <w:vAlign w:val="bottom"/>
          </w:tcPr>
          <w:p w:rsidR="000D61D2" w:rsidRDefault="001A00CF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32"/>
              </w:rPr>
              <w:t>о достигнутых значениях показателей эффективности деятельности органов местного самоуправления муниципального района «Чернянского района»    Белгородской области</w:t>
            </w:r>
          </w:p>
        </w:tc>
      </w:tr>
      <w:tr w:rsidR="000D61D2">
        <w:trPr>
          <w:trHeight w:val="329"/>
        </w:trPr>
        <w:tc>
          <w:tcPr>
            <w:tcW w:w="9027" w:type="dxa"/>
            <w:gridSpan w:val="2"/>
            <w:shd w:val="clear" w:color="FFFFFF" w:fill="FFFFFF"/>
          </w:tcPr>
          <w:p w:rsidR="000D61D2" w:rsidRDefault="000D61D2"/>
        </w:tc>
      </w:tr>
      <w:tr w:rsidR="000D61D2">
        <w:trPr>
          <w:trHeight w:val="574"/>
        </w:trPr>
        <w:tc>
          <w:tcPr>
            <w:tcW w:w="9027" w:type="dxa"/>
            <w:gridSpan w:val="2"/>
            <w:shd w:val="clear" w:color="FFFFFF" w:fill="FFFFFF"/>
            <w:vAlign w:val="bottom"/>
          </w:tcPr>
          <w:p w:rsidR="000D61D2" w:rsidRDefault="001A00C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32"/>
              </w:rPr>
              <w:t>за 2024 год</w:t>
            </w:r>
          </w:p>
        </w:tc>
      </w:tr>
      <w:tr w:rsidR="000D61D2">
        <w:trPr>
          <w:trHeight w:val="329"/>
        </w:trPr>
        <w:tc>
          <w:tcPr>
            <w:tcW w:w="9027" w:type="dxa"/>
            <w:gridSpan w:val="2"/>
            <w:shd w:val="clear" w:color="FFFFFF" w:fill="FFFFFF"/>
            <w:vAlign w:val="bottom"/>
          </w:tcPr>
          <w:p w:rsidR="000D61D2" w:rsidRDefault="001A00C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32"/>
              </w:rPr>
              <w:t>и их планируемых значениях на 3-летний период</w:t>
            </w:r>
          </w:p>
          <w:p w:rsidR="000D61D2" w:rsidRDefault="000D61D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32"/>
                <w:szCs w:val="32"/>
              </w:rPr>
            </w:pPr>
          </w:p>
        </w:tc>
      </w:tr>
      <w:tr w:rsidR="000D61D2">
        <w:trPr>
          <w:trHeight w:val="2264"/>
        </w:trPr>
        <w:tc>
          <w:tcPr>
            <w:tcW w:w="9027" w:type="dxa"/>
            <w:gridSpan w:val="2"/>
            <w:shd w:val="clear" w:color="FFFFFF" w:fill="FFFFFF"/>
            <w:vAlign w:val="center"/>
          </w:tcPr>
          <w:p w:rsidR="000D61D2" w:rsidRDefault="001A00C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(во исполнение постановления Губернатора Белгородской области </w:t>
            </w:r>
          </w:p>
          <w:p w:rsidR="000D61D2" w:rsidRDefault="001A00C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от 8 октября 2024 года № 152 «Об оценке эффективности деятельности органов местного самоуправления муниципальных, городских округов </w:t>
            </w:r>
          </w:p>
          <w:p w:rsidR="000D61D2" w:rsidRDefault="001A00C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и муниципальных районов Белгородской области»)</w:t>
            </w:r>
          </w:p>
        </w:tc>
      </w:tr>
      <w:tr w:rsidR="000D61D2">
        <w:trPr>
          <w:trHeight w:val="559"/>
        </w:trPr>
        <w:tc>
          <w:tcPr>
            <w:tcW w:w="9027" w:type="dxa"/>
            <w:gridSpan w:val="2"/>
          </w:tcPr>
          <w:p w:rsidR="000D61D2" w:rsidRDefault="000D61D2"/>
        </w:tc>
      </w:tr>
      <w:tr w:rsidR="000D61D2">
        <w:trPr>
          <w:trHeight w:val="1690"/>
        </w:trPr>
        <w:tc>
          <w:tcPr>
            <w:tcW w:w="3725" w:type="dxa"/>
          </w:tcPr>
          <w:p w:rsidR="000D61D2" w:rsidRDefault="000D61D2"/>
        </w:tc>
        <w:tc>
          <w:tcPr>
            <w:tcW w:w="5302" w:type="dxa"/>
            <w:shd w:val="clear" w:color="FFFFFF" w:fill="FFFFFF"/>
            <w:vAlign w:val="center"/>
          </w:tcPr>
          <w:p w:rsidR="000D61D2" w:rsidRDefault="001A00CF">
            <w:pPr>
              <w:spacing w:line="226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16"/>
              </w:rPr>
              <w:t>${STAMP}</w:t>
            </w:r>
          </w:p>
        </w:tc>
      </w:tr>
      <w:tr w:rsidR="000D61D2">
        <w:trPr>
          <w:trHeight w:val="760"/>
        </w:trPr>
        <w:tc>
          <w:tcPr>
            <w:tcW w:w="9027" w:type="dxa"/>
            <w:gridSpan w:val="2"/>
          </w:tcPr>
          <w:p w:rsidR="000D61D2" w:rsidRDefault="000D61D2"/>
        </w:tc>
      </w:tr>
      <w:tr w:rsidR="000D61D2">
        <w:trPr>
          <w:trHeight w:val="458"/>
        </w:trPr>
        <w:tc>
          <w:tcPr>
            <w:tcW w:w="9027" w:type="dxa"/>
            <w:gridSpan w:val="2"/>
            <w:shd w:val="clear" w:color="FFFFFF" w:fill="FFFFFF"/>
            <w:vAlign w:val="bottom"/>
          </w:tcPr>
          <w:p w:rsidR="000D61D2" w:rsidRDefault="001A00CF">
            <w:pPr>
              <w:spacing w:line="226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Дата __ ______ _____г.</w:t>
            </w:r>
          </w:p>
        </w:tc>
      </w:tr>
      <w:tr w:rsidR="000D61D2">
        <w:trPr>
          <w:trHeight w:val="258"/>
        </w:trPr>
        <w:tc>
          <w:tcPr>
            <w:tcW w:w="9027" w:type="dxa"/>
            <w:gridSpan w:val="2"/>
          </w:tcPr>
          <w:p w:rsidR="000D61D2" w:rsidRDefault="000D61D2"/>
        </w:tc>
      </w:tr>
    </w:tbl>
    <w:p w:rsidR="000D61D2" w:rsidRDefault="000D61D2"/>
    <w:p w:rsidR="000D61D2" w:rsidRDefault="000D61D2"/>
    <w:p w:rsidR="000D61D2" w:rsidRDefault="000D61D2"/>
    <w:p w:rsidR="000D61D2" w:rsidRDefault="000D61D2"/>
    <w:p w:rsidR="000D61D2" w:rsidRDefault="000D61D2"/>
    <w:p w:rsidR="000D61D2" w:rsidRDefault="000D61D2">
      <w:pPr>
        <w:spacing w:after="0" w:line="235" w:lineRule="auto"/>
        <w:contextualSpacing/>
        <w:rPr>
          <w:rFonts w:ascii="Times New Roman" w:hAnsi="Times New Roman" w:cs="Times New Roman"/>
        </w:rPr>
        <w:sectPr w:rsidR="000D61D2">
          <w:headerReference w:type="default" r:id="rId8"/>
          <w:pgSz w:w="11906" w:h="16838"/>
          <w:pgMar w:top="567" w:right="1134" w:bottom="517" w:left="1701" w:header="567" w:footer="517" w:gutter="0"/>
          <w:cols w:space="1701"/>
          <w:docGrid w:linePitch="36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3725"/>
        <w:gridCol w:w="115"/>
        <w:gridCol w:w="1232"/>
        <w:gridCol w:w="1247"/>
        <w:gridCol w:w="1246"/>
        <w:gridCol w:w="1232"/>
        <w:gridCol w:w="1247"/>
        <w:gridCol w:w="1247"/>
        <w:gridCol w:w="1232"/>
        <w:gridCol w:w="2264"/>
        <w:gridCol w:w="57"/>
      </w:tblGrid>
      <w:tr w:rsidR="000D61D2">
        <w:trPr>
          <w:trHeight w:val="20"/>
        </w:trPr>
        <w:tc>
          <w:tcPr>
            <w:tcW w:w="15575" w:type="dxa"/>
            <w:gridSpan w:val="11"/>
            <w:shd w:val="clear" w:color="auto" w:fill="FFFFFF"/>
          </w:tcPr>
          <w:p w:rsidR="000D61D2" w:rsidRDefault="000D61D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0D61D2" w:rsidRDefault="000D61D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0D61D2" w:rsidRDefault="001A00C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I. Табличная часть доклада</w:t>
            </w:r>
          </w:p>
        </w:tc>
        <w:tc>
          <w:tcPr>
            <w:tcW w:w="57" w:type="dxa"/>
          </w:tcPr>
          <w:p w:rsidR="000D61D2" w:rsidRDefault="000D61D2">
            <w:pPr>
              <w:spacing w:after="0" w:line="235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61D2">
        <w:trPr>
          <w:trHeight w:val="20"/>
        </w:trPr>
        <w:tc>
          <w:tcPr>
            <w:tcW w:w="15575" w:type="dxa"/>
            <w:gridSpan w:val="11"/>
            <w:shd w:val="clear" w:color="auto" w:fill="FFFFFF"/>
          </w:tcPr>
          <w:p w:rsidR="000D61D2" w:rsidRDefault="001A00C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Достигнутые значения показателей эффективности деятельности органов местного самоуправления </w:t>
            </w:r>
          </w:p>
          <w:p w:rsidR="000D61D2" w:rsidRDefault="001A00C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муниципального района «Чернянский район» Белгородской области</w:t>
            </w:r>
          </w:p>
          <w:p w:rsidR="000D61D2" w:rsidRDefault="001A00C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за «2024» год и их планируемых значениях на 3-летний период</w:t>
            </w:r>
          </w:p>
        </w:tc>
        <w:tc>
          <w:tcPr>
            <w:tcW w:w="57" w:type="dxa"/>
          </w:tcPr>
          <w:p w:rsidR="000D61D2" w:rsidRDefault="000D61D2">
            <w:pPr>
              <w:spacing w:after="0" w:line="235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61D2">
        <w:trPr>
          <w:trHeight w:val="20"/>
        </w:trPr>
        <w:tc>
          <w:tcPr>
            <w:tcW w:w="15575" w:type="dxa"/>
            <w:gridSpan w:val="11"/>
            <w:shd w:val="clear" w:color="auto" w:fill="FFFFFF"/>
            <w:vAlign w:val="center"/>
          </w:tcPr>
          <w:p w:rsidR="000D61D2" w:rsidRDefault="000D61D2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7" w:type="dxa"/>
          </w:tcPr>
          <w:p w:rsidR="000D61D2" w:rsidRDefault="000D61D2">
            <w:pPr>
              <w:spacing w:after="0" w:line="235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61D2">
        <w:trPr>
          <w:trHeight w:val="20"/>
        </w:trPr>
        <w:tc>
          <w:tcPr>
            <w:tcW w:w="15575" w:type="dxa"/>
            <w:gridSpan w:val="11"/>
            <w:shd w:val="clear" w:color="auto" w:fill="FFFFFF"/>
          </w:tcPr>
          <w:p w:rsidR="000D61D2" w:rsidRDefault="001A00C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         </w:t>
            </w:r>
          </w:p>
          <w:p w:rsidR="000D61D2" w:rsidRDefault="001A00C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Доклад главы администрации «Чернянского района» Белгородской области о достигнутых значениях показателей эффективности деятельности органов местного самоуправления «Чернянского района» Белгородской области (далее соответственно – доклад, ОМСУ) за отчётный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год и их планируемых значениях на 3-летний период состоит из двух частей: типовой (табличной) и текстовой (аналитической). </w:t>
            </w:r>
          </w:p>
          <w:p w:rsidR="000D61D2" w:rsidRDefault="001A00C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         В табличной части доклада отражена информация о достигнутых значениях показателей эффективности деятельности ОМСУ за отчет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ный год и их планируемых значениях на 3-летний период.</w:t>
            </w:r>
          </w:p>
          <w:p w:rsidR="000D61D2" w:rsidRDefault="001A00C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         Перечень показателей эффективности деятельности ОМСУ состоит из 41-го показателя по 10-ти направлениям социально-экономической деятельности ОМСУ, утверждён постановлением Губернатора Белгород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ской области от 8 октября 2024 года № 152 «Об оценке эффективности деятельности органов местного самоуправления муниципальных, городских округов и муниципальных районов Белгородской области».          </w:t>
            </w:r>
          </w:p>
          <w:p w:rsidR="000D61D2" w:rsidRDefault="001A00C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По каждому показателю приводятся:</w:t>
            </w:r>
          </w:p>
          <w:p w:rsidR="000D61D2" w:rsidRDefault="001A00C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    - фактические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начения за два года, предшествующих отчетному;</w:t>
            </w:r>
          </w:p>
          <w:p w:rsidR="000D61D2" w:rsidRDefault="001A00C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    - значения за отчетный год;</w:t>
            </w:r>
          </w:p>
          <w:p w:rsidR="000D61D2" w:rsidRDefault="001A00C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    - планируемые значения на 3-летний период;</w:t>
            </w:r>
          </w:p>
          <w:p w:rsidR="000D61D2" w:rsidRDefault="001A00C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    - в графе «Примечание» – краткое обоснование достигнутых значений показателей эффективности деятельности ОМСУ в отчетном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риоде; меры, реализуемые ОМСУ, с помощью которых удалось улучшить значения тех или иных показателей; пояснения по показателям с отрицательной динамикой развития с указанием перечня мер, реализуемых или планируемых к реализации для достижения наилучших знач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ений показателей; информация о ходе реализации реформ и степени достижения установленных целевых индикаторов/нормативных значений показателей. </w:t>
            </w:r>
          </w:p>
          <w:p w:rsidR="000D61D2" w:rsidRDefault="000D61D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0D61D2" w:rsidRDefault="000D61D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0D61D2" w:rsidRDefault="000D61D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0D61D2" w:rsidRDefault="000D61D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0D61D2" w:rsidRDefault="000D61D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57" w:type="dxa"/>
          </w:tcPr>
          <w:p w:rsidR="000D61D2" w:rsidRDefault="000D61D2">
            <w:pPr>
              <w:spacing w:after="0" w:line="235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61D2">
        <w:trPr>
          <w:trHeight w:val="20"/>
        </w:trPr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" w:type="dxa"/>
              <w:right w:w="1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№ п/п</w:t>
            </w:r>
          </w:p>
        </w:tc>
        <w:tc>
          <w:tcPr>
            <w:tcW w:w="37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" w:type="dxa"/>
              <w:right w:w="1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Наименование</w:t>
            </w:r>
          </w:p>
          <w:p w:rsidR="000D61D2" w:rsidRDefault="001A00CF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показателя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" w:type="dxa"/>
              <w:right w:w="1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Единица измерения</w:t>
            </w:r>
          </w:p>
        </w:tc>
        <w:tc>
          <w:tcPr>
            <w:tcW w:w="745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" w:type="dxa"/>
              <w:right w:w="1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Отчетная информация</w:t>
            </w:r>
          </w:p>
        </w:tc>
        <w:tc>
          <w:tcPr>
            <w:tcW w:w="232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" w:type="dxa"/>
              <w:right w:w="1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Примечание</w:t>
            </w:r>
          </w:p>
        </w:tc>
      </w:tr>
      <w:tr w:rsidR="000D61D2">
        <w:trPr>
          <w:trHeight w:val="20"/>
        </w:trPr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D61D2" w:rsidRDefault="000D61D2">
            <w:pPr>
              <w:spacing w:after="0" w:line="235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D61D2" w:rsidRDefault="000D61D2">
            <w:pPr>
              <w:spacing w:after="0" w:line="235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D61D2" w:rsidRDefault="000D61D2">
            <w:pPr>
              <w:spacing w:after="0" w:line="235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2022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2023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2024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2025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2026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2027</w:t>
            </w:r>
          </w:p>
        </w:tc>
        <w:tc>
          <w:tcPr>
            <w:tcW w:w="232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D61D2" w:rsidRDefault="000D61D2">
            <w:pPr>
              <w:spacing w:after="0" w:line="235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61D2">
        <w:trPr>
          <w:trHeight w:val="20"/>
        </w:trPr>
        <w:tc>
          <w:tcPr>
            <w:tcW w:w="15632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Экономическое развитие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Число субъектов малого и среднего предпринимательства в расчете на 10 тыс. человек населения 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единиц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334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334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334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334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Показатель рассчитывается 1 раз в 5 лет, данные  Белгородстата (раздел 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Муниципальная статистика» - «Показатели для подготовки докладов глав муниципальных образований об эффективности деятельности ОМСУ за отчетный год» на сайте http:belg.gks.ru)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 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%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17,8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17,8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17,8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17,8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17,8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17,8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Показатель рассчитывается 1 раз в 5 лет, данные  Белгородстата (раздел «Муниципальная статистика» - «Показатели для подготовки докладов глав муниципальных образований об эффективности деятельности ОМСУ за отчетный год» на сайте http:belg.gks.ru)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Объем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нвестиций в основной капитал (за исключением бюджетных средств) в расчете на 1 жителя 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руб.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31507,4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40166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66887,8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66900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67300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67400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Увеличение инвестиций произошло за счет реализации инвестиционного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проекта «Модернизация сахарных заводов РусАгро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на территории Белгородской области для увеличения объемов производства.Общий объем инвестиций за 2024 год составил 2172,5 млн рублей, что на 39,6 % выше соответствующего периода 2023 года в сопоставимых ценах. 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4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 образования области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%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81,1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81,1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81,1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81,1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81,1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81,1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 результате комплексных кадастровых работ осуществлено внесение в Единый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государственных реестр недвижимости достоверных сведений о местоположении границ в координатах объектов недвижимости. Также сформированные земельные участки возможны для предоставления гражданам в собственность. 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Доля прибыльных сельскохозяйственных организаций в общем их числе 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%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85,71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83,33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Целевой показатель не выполнен в связи стем, что на посевных площадях ЗАО Агросоюз «Авида»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в связи с погодными условиями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 xml:space="preserve">зафиксирована гибель озимых культур, что в свою очередь привело к потере урожая и увеличению затрат, что и повлекло за собой убытки в целом по Обществу.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6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Доля протяженности автомобильных дорог общего пользования местного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%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19,03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16,99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24,47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24,5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24,8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 рамках реализации приоритетного проекта «Безопасные качественные дороги»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 на территории Чернянского района Белгородской области проведена диагностика автомобильных дорог общего пользования местного значения, в связи с чем увеличена протяженность автомобильных дорог общего пользования местного значения, не отвечающих нормативны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 требованиям и уменьшена общая протяженность дорог общего пользования местного значения.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Доля населения, проживающего в населенных пунктах, не имеющих регулярного автобусного и (или) железнодорожного сообщения</w:t>
            </w:r>
          </w:p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 административным центром 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образования области, в общей численности населения муниципального образования области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%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Все населенные пункты района имеют регулярное автобусное сообщение с административным центром.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Среднемесячная номинальная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начисленная заработная плата работников: 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8.1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 крупных и средних предприятий и некоммерческих организаций 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руб.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43453,5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48823,9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56748,2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56800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57000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57500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Рост показателя по сравнению с прошлым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годом составил 16,2%. Этому способствовали проводимые мероприятия по мониторингу среднемесячной заработной платы, по недопущению неформальной занятости. 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8.2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 муниципальных дошкольных образовательных организаций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руб.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29881,8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31322,7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33979,2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36097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37540,9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39042,5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Целевой показатель перевыполнен  за счет увеличения МРОТ,  увеличения ФОТ по педагогическим работникам на  5% и прочим работникам на 5,1%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8.3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 муниципальных общеобразовательных организаций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руб.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35959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38056,6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43349,1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43560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45302,4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47114,5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Целевой показатель перевыполнен  за счет увеличения МРОТ,  увеличения ФОТ по педагогическим работникам на  5% и прочим работникам на 5,1%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8.4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 учителей муниципальных общеобразовательных организаций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руб.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44536,4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46630,8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47237,3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54109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56273,4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58524,3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Целевой показатель перевыполнен  за счет увеличения МРОТ,  увеличения ФОТ по педагогическим работникам на  5% и прочим работникам на 5,1%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8.5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- муниципальных организаций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культуры и искусства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руб.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41241,9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45254,4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57678,7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58100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63050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67700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Указ Президента РФ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07.05.2012 года № 597»О мероприятиях по реализации государственной социальной политики»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8.6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 муниципальных организаций физической культуры и спорта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руб.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22606,9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23500,2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24475,6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24750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25000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25500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Рост заработной платы обусловлен проведенной индексацией заработной платы</w:t>
            </w:r>
          </w:p>
        </w:tc>
      </w:tr>
      <w:tr w:rsidR="000D61D2">
        <w:trPr>
          <w:trHeight w:val="20"/>
        </w:trPr>
        <w:tc>
          <w:tcPr>
            <w:tcW w:w="15632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Дошкольное образование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организациях, в общей численности детей в возрасте 1-6 лет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%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73,2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66,52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70,72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Целевой показатель выше запла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нирован-ного в связи с тем, что в ДОО Чернянского района 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br/>
              <w:t xml:space="preserve">2024 года прибыло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br/>
              <w:t xml:space="preserve">22 ребенка из приграничных районов Белгородской области; функционировали группы кратковремен-ного пребывания детей на базе 6 детских садов с охватом 39 детей. 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Доля детей в возрасте от одного года до шести лет, состоящих на учете для определения в муниципальные дошкольные образовательные организации, в общей численности детей в возрасте от одного года до шести лет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%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Целевой показатель выполнен. Очередность в детский сад отсутствует. 100% детей, состоящих в очереди получили место в дошкольных образовательных организациях Чернянского района.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Доля муниципальных дошкольных образовательных организаций, здания которых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аходятся в аварийном состоянии или требуют капитального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ремонта, в общем числе муниципальных дошкольных образовательных организаций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%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Капитальный ремонт в МБДОУ «Сказка» с.Ездочное и МАДОУ «Солнышко»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п.Чернянка перенесен на 2025 год, МБДОУ 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Светлячок» п.Чернянка - 2026 году.</w:t>
            </w:r>
          </w:p>
        </w:tc>
      </w:tr>
      <w:tr w:rsidR="000D61D2">
        <w:trPr>
          <w:trHeight w:val="20"/>
        </w:trPr>
        <w:tc>
          <w:tcPr>
            <w:tcW w:w="15632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Общее и дополнительное образование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%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1,02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Целевой показатель выполнен. Все выпускники получили аттестат о среднем (полном) образовании.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Доля муниципальных общеобразовательных учреждений, соответствующих современным требованиям обучения, в общем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количестве муниципальных общеобразовательных учреждений: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%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87,17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87,83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Все общеобразователь-ные учреждения соответствуют современным требованиям обучения.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организаций: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%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10,53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10,53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10,53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10,53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10,53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10,53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Капитальный ремонт требуется в школе с.Волково и  школа №3 п. Чернянка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%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89,94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89,09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89,43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89,89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89,56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89,68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Информация размещена на основании результатов профилактических осмотров несовершеннолетних в 2024 году в рамках приказа Минздрава России от 10.08.2017 г.№ 514н, внесенных медицинскими организациями в Систему мониторинга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диспансеризации детей-сир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от и детей, находящихся в трудной жизненной ситуации, и прохождения несовершеннолетними медицинских осмотров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16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Доля обучающихся в муниципальных общеобразовательных организациях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%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 районе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нет обучающихся, занимающихся во вторую смену, так как количество мест в общеобразовательных учреждениях позволяет обеспечить обучение в первую смену.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Расходы бюджета муниципального образования на общее образование в расчете на 1 обучающегося в муници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пальных общеобразовательных организациях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тыс.руб.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36,58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44,93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214,58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196,96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230,3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250,79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Показатель увеличен в связи с тем, что изменена методика расчета показателя.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%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84,11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73,72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84,1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84,1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83,01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83,01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достигнут путем создания новых программ дополнительного образования, позволивших вовлечь большее количество  воспитанников ДОУ (детей в возрасте 5-6 лет) и обучающихся  СПО (Чернянского агромеханического техникума) (дети возрастом 16-18 лет)</w:t>
            </w:r>
          </w:p>
        </w:tc>
      </w:tr>
      <w:tr w:rsidR="000D61D2">
        <w:trPr>
          <w:trHeight w:val="20"/>
        </w:trPr>
        <w:tc>
          <w:tcPr>
            <w:tcW w:w="15632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Культура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Уровень фактической обеспеченности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организациями культуры от нормативной потребности: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19.1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 клубами и организациями клубного типа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%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Населенные пункты района обеспечены клубами и организациями клубного типа в 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с нормативом.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19.2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 библиотеками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%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Населенные пункты района обеспечены библиотеками в соответствии с нормативом.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19.3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 парками культуры и отдыха 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%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Населенные пункты района обеспечены парками культуры и отдыха в соответствии с нормативом.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Доля муниципальных организаций культуры, здания которых находятся в аварийном состоянии или требуют капитального ремонта, в общем количестве муниципальных организаций культуры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%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2,7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5,41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2,38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2,38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2,38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 2024 году в рамках национального проекта «Культура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» капитально отремонтирован Комаревцевский клуб-библиотека.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br/>
              <w:t>В 2025 году капиталь-ный ремонт учрежде-ний культуры не запланирован, с 2026 года требуют капи-тального ремонта  6 учреждений культуры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наследия, находящихся в муниципальной собственности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%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10,26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5,13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12,82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7,69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10,26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7,69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В 2024 году в рамках федеральной целевой программы «Увековечивание памяти погибших при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защите Отечества на 2019 - 2024 годы» капитально отремонтированы памятники Воинской славы в п.. Красный Остров, с. Русская Халань, с. Холки. В с. Прилепы и центре п. 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нянка - памятник Скорбящей матери отремонтированы за счет местного бюджета. В 2025 году будут отремонтированы 3 памятника воинской Славы:в п. Чернянка по ул. Маринченко, в с. Хитрово, скульптура на ул. Октябрьская.</w:t>
            </w:r>
          </w:p>
        </w:tc>
      </w:tr>
      <w:tr w:rsidR="000D61D2">
        <w:trPr>
          <w:trHeight w:val="20"/>
        </w:trPr>
        <w:tc>
          <w:tcPr>
            <w:tcW w:w="15632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Физическая культура и спорт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Доля населения, систематически занимающегося физической культурой и спортом 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%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56,37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58,39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60,25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60,25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60,25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60,25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Увеличение показателя  систематически занимающихся физической нагрузкой произошло в связи с увеличением количества спортивных мероприятий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водимых на территории района.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%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98,54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99,26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99,32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99,32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99,32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99,32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Увеличение показателя  систематически занимающихся физической нагрузкой произошло в связи с увеличением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количества спортивных мероприятий проводимых на территории района.</w:t>
            </w:r>
          </w:p>
        </w:tc>
      </w:tr>
      <w:tr w:rsidR="000D61D2">
        <w:trPr>
          <w:trHeight w:val="20"/>
        </w:trPr>
        <w:tc>
          <w:tcPr>
            <w:tcW w:w="15632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Жилищное строительство и обеспечение граждан жильем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Общая площадь жилых помещений, приходящаяся в среднем на одного жителя, всего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кв.метров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37,49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37,2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Общая площадь жилых помещений, приходящаяся в среднем на одного жителя, увеличилась по отношению к 2023 году на 0,8 кв.м. и составила 38 кв.м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., за период 2024 года введено в действие 67 жилых домов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24.1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 в том числе введенная в действие за один год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кв.метров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0,34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0,36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0,33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0,33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0,33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0,33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themeColor="background1" w:fill="FFFFFF" w:themeFill="background1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highlight w:val="white"/>
              </w:rPr>
              <w:t>За  2024 год населением за счет собственных и заемных средств построено и сдано в эксплуатацию 67 домов, общей площадью 9 395 м2, что составляет 91,7% к соответствующему периоду прошлого года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земельных участков, предоставленных для строительств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 в расчете на 10 тыс. человек населения, всего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га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8,77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8,85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4,47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4,47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4,47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4,47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Фактический показатель скорректирован по итогам года. За отчетный период  предоставлено 45 земельных участков для строительства  государственная собственность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которые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не разграничена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25.1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 в том числе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га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1,02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1,13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0,9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0,9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Предоставлено в 2024 году для индивидуального жилищного строительства из государственной неразграниченной собственности в собственность и аренду 45 земельных участков.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земельных участков, предоставленных для строительства, в отношении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26.1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 объектов жилищного строительства - в течение 3 лет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кв.метров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На территории района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 земельных участков, предоставленных под строительство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эксплуатацию.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26.2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 иных объектов капитального строительства - в течение 5 лет 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кв.метров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На территории района нет земельных участков, предоставленных под строительство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на ввод в эксплуатацию.</w:t>
            </w:r>
          </w:p>
        </w:tc>
      </w:tr>
      <w:tr w:rsidR="000D61D2">
        <w:trPr>
          <w:trHeight w:val="20"/>
        </w:trPr>
        <w:tc>
          <w:tcPr>
            <w:tcW w:w="15632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Жилищно-коммунальное хозяйство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Доля многоквартирных домов, в которых собственники помещений выбрали и реализуют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 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%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Показатель выполнен, во всех многоквартирных домах  собственниками выбран способ управления МКД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Доля организаций коммунального комплекса, осуществляющих производство товаров, оказание услуг по водо-, тепло-, газо-, энергоснаб-жению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, водоотведению, очистке сточных вод, утилизации (захороне-нию) твердых бытовых отходов на территории муниципального образования области и использующих объекты коммунальной инфраструк-туры на праве частной собственности, по договору аренды или концессии,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частие Белгородской области и (или) муниципального образования области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 образовани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 области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%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81,25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81,25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81,25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81,25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81,25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81,25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Целевой показатель выполнен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29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 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%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Целевой показатель выполнен, в отношении всех МКД, находящихся на территории района осуществляется государственный кадастровый учет.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Доля населения, получившего жилые помещения и улучшившего жилищные условия в отчетном году, в общей численности населен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ия, состоящего на учете в качестве нуждающегося в жилых помещениях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%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21,33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10,08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4,23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4,41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3,85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5,93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 2024 году жилищные условия улучшили 6 семей</w:t>
            </w:r>
          </w:p>
        </w:tc>
      </w:tr>
      <w:tr w:rsidR="000D61D2">
        <w:trPr>
          <w:trHeight w:val="20"/>
        </w:trPr>
        <w:tc>
          <w:tcPr>
            <w:tcW w:w="15632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Организация муниципального управления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%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24,48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25,44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29,35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39,05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44,28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Достижение данного показателя сложилось за счет увеличения налоговых и неналоговых доходов в консолидированный бюджет района. Основной рост поступлений обеспечен за счет налога на доходы с физических лиц. В целях обеспечения поступлений собст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венных доходов бюджета  проводится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работа  по снижению недоимки по налогам: на регулярной основе осуществлялась работа постоянно действующей комиссии по обеспечению полноты, своевременности поступления налоговых и неналоговых доходов в бюджет, сокращению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едоимки и по вопросам своевременности и полноты заработной платы, снижению неформальной занятости муниципального образования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32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%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 состоянию на 01.01.2025 года в районе нет организаций муниципальной формы собственности, находящихся в стадии банкротства.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Объем не завершенного в установленные сроки строительства, осуществляемого за счет средств бюджета муниципального образования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тыс.руб.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Не завершенного в установленные сроки строительства, осуществляемого за счет средств муниципального бюджета, нет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Доля просроченной кредиторской задолженности по оплате труда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%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Просроченная кредиторская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задолженность по оплате труда (включая начисления на оплату труда) отсутствует.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35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Расходы бюджета муниципального образования на содержание работников органов местного самоуправления в расчете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на одного жителя муниципального образования 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руб.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4364,67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4315,63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4876,9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5668,76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4188,01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4377,73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Достижение данного показателя сложилось за счет  соблюдения предельной штатной численности работников ОМСУ согласно распоряжения Губернатора Белгородской обла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сти от 02.11.2023 года №170-р 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Наличие в муниципальном образовании области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да - 1 / нет - 0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 районе  утвержден генеральный план городского поселения п.Чернянка, генеральные планы всех сельских поселений (15 шт.). Разработана и утверждена схема территориального планирования Чернянского района.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Удовлетворенность населения деятельностью ОМСУ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от числа опрошенных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98,35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98,26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97,55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97,55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97,55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97,55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Показатель выполнен, это связано с улучшением качества услуг, предоставляемых населению, открытостью, доступностью органов местного самоуправления района. Кроме этого,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районе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проводится информационно-разъяснительная работа среди граждан района.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38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Среднегодовая численность постоянного населения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тыс.чел.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29,4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29,1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28,8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28,1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27,8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Демографическая ситуация в районе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характеризуется продолжающимся процессом естественной убыли населения.</w:t>
            </w:r>
          </w:p>
        </w:tc>
      </w:tr>
      <w:tr w:rsidR="000D61D2">
        <w:trPr>
          <w:trHeight w:val="20"/>
        </w:trPr>
        <w:tc>
          <w:tcPr>
            <w:tcW w:w="15632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Энергосбережение и повышение энергетической эффективности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39.1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 электрическая энергия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кВт/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 на 1 проживающего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578,4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599,74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580,15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580,14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580,13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580,12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Снижение показателя обусловлено экономией потребления  электроэнергии.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39.2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 тепловая энергия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Гкал на 1 кв. метр общей площади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0,17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0,16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0,15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0,15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0,15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0,15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показатель уменьшился за счет установки приборов учета тепла в МКД.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39.3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 горячая вода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куб. метров на 1 проживающего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1,69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1,59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1,6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1,59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1,59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1,59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Менее короткий срок проведения ежегодных профилактических работ системы ГВС.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39.4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 холодная вода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куб. метров на 1 проживающего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24,02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24,07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24,86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24,84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24,84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24,84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 связи с засушливыми погодными условиями увеличен расход воды на полив приусадебных участков.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39.5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 природный газ 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куб. метров на 1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проживающего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218,17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203,87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198,98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219,01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219,01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219,01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Показатель ниже целевого значения, за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счет установки приборов учета потребления газа в МКД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40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40.1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 электрическая энергия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кВт/ч на 1 проживающего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131,36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134,34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135,2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135,2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135,19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135,19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4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Дополнительный расход электроэнергии   обусловлен работой с апреля месяца  пионерского лагеря «Орбита» с.Заречное (прием детей приграничных районов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40.2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 тепловая энергия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Гкал на 1 кв. метр общей площади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0,1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0,09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0,08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0,08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Экономия потребления тепловой энергии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40.3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 горячая вода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куб. метров на 1 проживающего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 муниципальных бюджетных учреждениях района отсутствует горячее водоснабжение.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40.4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 холодная вода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куб. метров на 1 проживающего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1,62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1,67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1,96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1,62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2,01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 2024 году  увеличено потребление холодной воды в ПБ «Дельфин», МБУ «ФОК» (проведение спортивных мероприятий)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40.5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 природный газ 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куб. метров на 1 проживающего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25,98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24,63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24,59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25,18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25,3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25,3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Результаты работы котельного оборудования с более высоким КПД.</w:t>
            </w:r>
          </w:p>
        </w:tc>
      </w:tr>
      <w:tr w:rsidR="000D61D2">
        <w:trPr>
          <w:trHeight w:val="20"/>
        </w:trPr>
        <w:tc>
          <w:tcPr>
            <w:tcW w:w="15632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Оценка качества условий оказания услуг муниципальными организациями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41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Результаты независимой оценки качества условий оказания услуг муниципальными организациями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0D61D2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41.1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 муниципальному образованию в целом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баллов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95,88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95,3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97,96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96,3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96,3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96,3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 районе проводятся мероприятия по улучшению качества услуг.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41.2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 отрасли «Культура»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баллов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98,88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94,14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99,27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99,27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99,27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99,27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 результатам независимой оценки в 2024 МКУК 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Чернянская центральная районная библиотека» набрал 99,90 баллов, МБУК «Чернянский районный центр народного творчества и культурно-досуговой деятельности» - 99,60 баллов, МКУК «Чернянская районная детская библиотека» - 99,02 балла, МБУК «Центр культурного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азвития п. Чернянка» - 98,54 балла. (Приказ министерства культуры Белгородской области от 03 декабря 2024 г. №545 «О результатах независимой оценки качества условий оказания услуг организациями в сфере культуры).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41.3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 отрасли «Образование»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баллов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90,69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92,96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96,65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96,65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96,65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96,65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Показатель выполнен. Родители обучающихся удовлетворены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созданными условиями, в образовательных организациях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41.4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Результаты независимой оценки качества условий оказания услуг медицинскими организациями муниципальной системы здравоохранения учитываются в случае передачи органами государственной власти субъектов Российской Федерации полномочий в сфере охраны здоровья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МСУ муниципальных образований в соответствии с частью 2 статьи 16 Федерального закона от 21 ноября 2011 года N 323-ФЗ «Об основах охраны здоровья граждан в Российской Федерации»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баллов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Результаты НОК условий оказания услуг медицинскими организациями муниципальной системы здравоохра-нения не учитываются, поскольку полномочия в сфере охраны здоровья органами государственной власти области на уровень ОМСУ не переданы</w:t>
            </w:r>
          </w:p>
        </w:tc>
      </w:tr>
      <w:tr w:rsidR="000D61D2">
        <w:trPr>
          <w:trHeight w:val="2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41.5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 отрасли «Социа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льное обслуживание»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баллов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98,96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98,8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0D61D2" w:rsidRDefault="001A00CF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Учреждения по линии социальной защиты населения и труда  в 2024 году не оценивались.</w:t>
            </w:r>
          </w:p>
        </w:tc>
      </w:tr>
    </w:tbl>
    <w:p w:rsidR="000D61D2" w:rsidRDefault="000D61D2">
      <w:pPr>
        <w:spacing w:after="0" w:line="235" w:lineRule="auto"/>
        <w:contextualSpacing/>
        <w:rPr>
          <w:rFonts w:ascii="Times New Roman" w:hAnsi="Times New Roman" w:cs="Times New Roman"/>
        </w:rPr>
        <w:sectPr w:rsidR="000D61D2">
          <w:pgSz w:w="16838" w:h="11906" w:orient="landscape"/>
          <w:pgMar w:top="567" w:right="567" w:bottom="517" w:left="567" w:header="567" w:footer="567" w:gutter="0"/>
          <w:cols w:space="1701"/>
          <w:titlePg/>
          <w:docGrid w:linePitch="360"/>
        </w:sectPr>
      </w:pPr>
    </w:p>
    <w:p w:rsidR="000D61D2" w:rsidRDefault="001A00CF">
      <w:pPr>
        <w:spacing w:after="0" w:line="235" w:lineRule="auto"/>
        <w:ind w:hanging="1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position w:val="-1"/>
          <w:sz w:val="28"/>
        </w:rPr>
        <w:lastRenderedPageBreak/>
        <w:t>II. Текстовая (аналитическая) часть доклада</w:t>
      </w:r>
    </w:p>
    <w:p w:rsidR="000D61D2" w:rsidRDefault="000D61D2">
      <w:pPr>
        <w:spacing w:after="0" w:line="235" w:lineRule="auto"/>
        <w:ind w:hanging="1"/>
        <w:contextualSpacing/>
        <w:jc w:val="center"/>
        <w:rPr>
          <w:rFonts w:ascii="Times New Roman" w:hAnsi="Times New Roman" w:cs="Times New Roman"/>
        </w:rPr>
      </w:pPr>
    </w:p>
    <w:p w:rsidR="000D61D2" w:rsidRDefault="001A00CF">
      <w:pPr>
        <w:spacing w:after="0" w:line="235" w:lineRule="auto"/>
        <w:ind w:hanging="1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position w:val="-1"/>
          <w:sz w:val="28"/>
        </w:rPr>
        <w:t>1. Общие сведения о муниципальном образовании области</w:t>
      </w:r>
    </w:p>
    <w:p w:rsidR="000D61D2" w:rsidRDefault="000D61D2">
      <w:pPr>
        <w:spacing w:after="0" w:line="235" w:lineRule="auto"/>
        <w:ind w:hanging="1"/>
        <w:contextualSpacing/>
        <w:jc w:val="center"/>
        <w:rPr>
          <w:rFonts w:ascii="Times New Roman" w:hAnsi="Times New Roman" w:cs="Times New Roman"/>
        </w:rPr>
      </w:pPr>
    </w:p>
    <w:p w:rsidR="000D61D2" w:rsidRDefault="000D61D2">
      <w:pPr>
        <w:spacing w:after="0" w:line="235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Чернянский район расположен в северо-восточной части Белгородской области в пределах Среднерусской равнины. Территория района занимает 1 227,5 кв. км (4,5 % территории области).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>На севере он граничит с Губкинским и Старооскольским городскими округами, н</w:t>
      </w:r>
      <w:r>
        <w:rPr>
          <w:szCs w:val="28"/>
          <w:lang w:val="ru-RU"/>
        </w:rPr>
        <w:t xml:space="preserve">а западе – с Корочанским муниципальным районом, на юге – </w:t>
      </w:r>
      <w:r>
        <w:rPr>
          <w:szCs w:val="28"/>
          <w:lang w:val="ru-RU"/>
        </w:rPr>
        <w:br/>
        <w:t>с Новооскольским городским округом, на востоке – с Красненским муниципальным районом Белгородской области.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>В соответствии с Законом Белгородской области «Об установлении границ муниципальных образов</w:t>
      </w:r>
      <w:r>
        <w:rPr>
          <w:szCs w:val="28"/>
          <w:lang w:val="ru-RU"/>
        </w:rPr>
        <w:t xml:space="preserve">аний и наделении их статусом городского, сельского поселения, городского округа, муниципального района», </w:t>
      </w:r>
      <w:r>
        <w:rPr>
          <w:szCs w:val="28"/>
          <w:lang w:val="ru-RU"/>
        </w:rPr>
        <w:br/>
        <w:t xml:space="preserve">в муниципальном образовании «Чернянский район» образованы </w:t>
      </w:r>
      <w:r>
        <w:rPr>
          <w:szCs w:val="28"/>
          <w:lang w:val="ru-RU"/>
        </w:rPr>
        <w:br/>
        <w:t>1 городское поселение, в состав которого входит 1 городское и 2 сельских населенных пункта,</w:t>
      </w:r>
      <w:r>
        <w:rPr>
          <w:szCs w:val="28"/>
          <w:lang w:val="ru-RU"/>
        </w:rPr>
        <w:t xml:space="preserve"> и  15 сельских поселений, которые объединяют </w:t>
      </w:r>
      <w:r>
        <w:rPr>
          <w:szCs w:val="28"/>
          <w:lang w:val="ru-RU"/>
        </w:rPr>
        <w:br/>
        <w:t>57 населенных пунктов (в том числе, 1 – без населения).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По данным Росстата, численность населения по состоянию </w:t>
      </w:r>
      <w:r>
        <w:rPr>
          <w:szCs w:val="28"/>
          <w:lang w:val="ru-RU"/>
        </w:rPr>
        <w:br/>
        <w:t>на 01.01.2025 г. составляет 28 624 человека. Плотность населения муниципального образования «Черн</w:t>
      </w:r>
      <w:r>
        <w:rPr>
          <w:szCs w:val="28"/>
          <w:lang w:val="ru-RU"/>
        </w:rPr>
        <w:t xml:space="preserve">янский район» составляет </w:t>
      </w:r>
      <w:r>
        <w:rPr>
          <w:szCs w:val="28"/>
          <w:lang w:val="ru-RU"/>
        </w:rPr>
        <w:br/>
        <w:t>23,3 человека на 1 кв. км. Расстояние от районного центра  поселка Чернянка до областного центра города Белгород составляет по железной дороге – 229 км, по автодорогам – 110 км.</w:t>
      </w:r>
    </w:p>
    <w:p w:rsidR="000D61D2" w:rsidRDefault="000D61D2">
      <w:pPr>
        <w:spacing w:after="0" w:line="235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61D2" w:rsidRDefault="000D61D2">
      <w:pPr>
        <w:spacing w:after="0" w:line="235" w:lineRule="auto"/>
        <w:ind w:hanging="1"/>
        <w:contextualSpacing/>
        <w:jc w:val="center"/>
        <w:rPr>
          <w:rFonts w:ascii="Times New Roman" w:hAnsi="Times New Roman" w:cs="Times New Roman"/>
        </w:rPr>
      </w:pPr>
    </w:p>
    <w:p w:rsidR="000D61D2" w:rsidRDefault="001A00CF">
      <w:pPr>
        <w:spacing w:after="0" w:line="235" w:lineRule="auto"/>
        <w:ind w:hanging="1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position w:val="-1"/>
          <w:sz w:val="28"/>
        </w:rPr>
        <w:t>2. Информация о действующих нормативных правовых а</w:t>
      </w:r>
      <w:r>
        <w:rPr>
          <w:rFonts w:ascii="Times New Roman" w:eastAsia="Times New Roman" w:hAnsi="Times New Roman" w:cs="Times New Roman"/>
          <w:b/>
          <w:position w:val="-1"/>
          <w:sz w:val="28"/>
        </w:rPr>
        <w:t xml:space="preserve">ктах, регламентирующих проведение мониторинга и оценки достигнутых значений показателей эффективности деятельности ОМСУ </w:t>
      </w:r>
    </w:p>
    <w:p w:rsidR="000D61D2" w:rsidRDefault="000D61D2">
      <w:pPr>
        <w:spacing w:after="0" w:line="235" w:lineRule="auto"/>
        <w:ind w:hanging="1"/>
        <w:contextualSpacing/>
        <w:jc w:val="center"/>
        <w:rPr>
          <w:rFonts w:ascii="Times New Roman" w:hAnsi="Times New Roman" w:cs="Times New Roman"/>
        </w:rPr>
      </w:pPr>
    </w:p>
    <w:p w:rsidR="000D61D2" w:rsidRDefault="000D61D2">
      <w:pPr>
        <w:spacing w:after="0" w:line="235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lang w:val="ru-RU"/>
        </w:rPr>
      </w:pPr>
      <w:r>
        <w:rPr>
          <w:lang w:val="ru-RU"/>
        </w:rPr>
        <w:t>Организационно-правовыми основаниями проведения на территории Белгородской области мониторинга и оценки эффективности деятельности ор</w:t>
      </w:r>
      <w:r>
        <w:rPr>
          <w:lang w:val="ru-RU"/>
        </w:rPr>
        <w:t xml:space="preserve">ганов местного самоуправления муниципальных, городских округов </w:t>
      </w:r>
      <w:r>
        <w:rPr>
          <w:lang w:val="ru-RU"/>
        </w:rPr>
        <w:br/>
        <w:t>и муниципальных районов Белгородской области (далее соответственно – мониторинг, ОМСУ) являются следующие федеральные и региональные нормативные правовые акты, а также муниципальные распорядит</w:t>
      </w:r>
      <w:r>
        <w:rPr>
          <w:lang w:val="ru-RU"/>
        </w:rPr>
        <w:t>ельные акты: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lang w:val="ru-RU"/>
        </w:rPr>
      </w:pPr>
      <w:r>
        <w:rPr>
          <w:lang w:val="ru-RU"/>
        </w:rPr>
        <w:t>- постановления Правительства Российской Федерации от 17 декабря 2012 года № 1317 «О мерах по реализации Указа Президента Российской Федерации от 28 апреля 2008 года № 607 «Об оценке эффективности деятельности органов местного самоуправления м</w:t>
      </w:r>
      <w:r>
        <w:rPr>
          <w:lang w:val="ru-RU"/>
        </w:rPr>
        <w:t xml:space="preserve">униципальных, городских округов и муниципальных районов» и подпункта «и» пункта </w:t>
      </w:r>
      <w:r>
        <w:rPr>
          <w:lang w:val="ru-RU"/>
        </w:rPr>
        <w:br/>
        <w:t xml:space="preserve">2 Указа Президента Российской Федерации от 7 мая 2012 года № 601 </w:t>
      </w:r>
      <w:r>
        <w:rPr>
          <w:lang w:val="ru-RU"/>
        </w:rPr>
        <w:br/>
        <w:t>«Об основных направлениях совершенствования системы государственного управления»;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lang w:val="ru-RU"/>
        </w:rPr>
      </w:pPr>
      <w:r>
        <w:rPr>
          <w:lang w:val="ru-RU"/>
        </w:rPr>
        <w:lastRenderedPageBreak/>
        <w:t>- постановление Губернатора</w:t>
      </w:r>
      <w:r>
        <w:rPr>
          <w:lang w:val="ru-RU"/>
        </w:rPr>
        <w:t xml:space="preserve"> Белгородской области от 8 октября 2024 года № 152 «Об оценке эффективности деятельности </w:t>
      </w:r>
      <w:r>
        <w:rPr>
          <w:lang w:val="ru-RU"/>
        </w:rPr>
        <w:br/>
        <w:t xml:space="preserve">органов местного самоуправления муниципальных, городских округов </w:t>
      </w:r>
      <w:r>
        <w:rPr>
          <w:lang w:val="ru-RU"/>
        </w:rPr>
        <w:br/>
        <w:t>и муниципальных районов Белгородской области»;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lang w:val="ru-RU"/>
        </w:rPr>
      </w:pPr>
      <w:r>
        <w:rPr>
          <w:lang w:val="ru-RU"/>
        </w:rPr>
        <w:t>- постановление Губернатора Белгородской области от 1</w:t>
      </w:r>
      <w:r>
        <w:rPr>
          <w:lang w:val="ru-RU"/>
        </w:rPr>
        <w:t xml:space="preserve">1 марта </w:t>
      </w:r>
      <w:r>
        <w:rPr>
          <w:lang w:val="ru-RU"/>
        </w:rPr>
        <w:br/>
        <w:t xml:space="preserve">2014 года № 19 «Об организации и проведении опросов населения </w:t>
      </w:r>
      <w:r>
        <w:rPr>
          <w:lang w:val="ru-RU"/>
        </w:rPr>
        <w:br/>
        <w:t xml:space="preserve">в муниципальных, городских округах и муниципальных районах Белгородской области по оценке эффективности деятельности руководителей органов местного самоуправления и организаций </w:t>
      </w:r>
      <w:r>
        <w:rPr>
          <w:lang w:val="ru-RU"/>
        </w:rPr>
        <w:br/>
        <w:t>с прим</w:t>
      </w:r>
      <w:r>
        <w:rPr>
          <w:lang w:val="ru-RU"/>
        </w:rPr>
        <w:t xml:space="preserve">енением информационно-телекоммуникационных сетей </w:t>
      </w:r>
      <w:r>
        <w:rPr>
          <w:lang w:val="ru-RU"/>
        </w:rPr>
        <w:br/>
        <w:t>и информационных технологий».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lang w:val="ru-RU"/>
        </w:rPr>
      </w:pPr>
      <w:r>
        <w:rPr>
          <w:lang w:val="ru-RU"/>
        </w:rPr>
        <w:t xml:space="preserve">Указанные нормативные правовые акты определяют: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lang w:val="ru-RU"/>
        </w:rPr>
      </w:pPr>
      <w:r>
        <w:rPr>
          <w:lang w:val="ru-RU"/>
        </w:rPr>
        <w:t xml:space="preserve">- перечень и методики расчётов показателей эффективности деятельности ОМСУ;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lang w:val="ru-RU"/>
        </w:rPr>
      </w:pPr>
      <w:r>
        <w:rPr>
          <w:lang w:val="ru-RU"/>
        </w:rPr>
        <w:t>- регламент проведения мониторинга, порядок взаимо</w:t>
      </w:r>
      <w:r>
        <w:rPr>
          <w:lang w:val="ru-RU"/>
        </w:rPr>
        <w:t>действия участников мониторинга – профильных министерств и управлений Белгородской области, ОМСУ;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lang w:val="ru-RU"/>
        </w:rPr>
      </w:pPr>
      <w:r>
        <w:rPr>
          <w:lang w:val="ru-RU"/>
        </w:rPr>
        <w:t xml:space="preserve">- методику комплексной оценки эффективности деятельности ОМСУ;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lang w:val="ru-RU"/>
        </w:rPr>
      </w:pPr>
      <w:r>
        <w:rPr>
          <w:lang w:val="ru-RU"/>
        </w:rPr>
        <w:t>- порядок награждения ОМСУ, достигших наилучших значений показателей;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lang w:val="ru-RU"/>
        </w:rPr>
      </w:pPr>
      <w:r>
        <w:rPr>
          <w:lang w:val="ru-RU"/>
        </w:rPr>
        <w:t>- правила распределения и предоставления дотаций (грантов) победителям по итогам комплексной оценки за отчётный год, общий размер премиального фонда;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lang w:val="ru-RU"/>
        </w:rPr>
      </w:pPr>
      <w:r>
        <w:rPr>
          <w:lang w:val="ru-RU"/>
        </w:rPr>
        <w:t>- порядок организации и проведения опросов населения</w:t>
      </w:r>
      <w:r>
        <w:rPr>
          <w:lang w:val="ru-RU"/>
        </w:rPr>
        <w:br/>
      </w:r>
      <w:r>
        <w:rPr>
          <w:lang w:val="ru-RU"/>
        </w:rPr>
        <w:t>в муниципальных районах и городских округах Белгородской области</w:t>
      </w:r>
      <w:r>
        <w:rPr>
          <w:lang w:val="ru-RU"/>
        </w:rPr>
        <w:br/>
        <w:t xml:space="preserve">по оценке эффективности деятельности руководителей ОМСУ </w:t>
      </w:r>
      <w:r>
        <w:rPr>
          <w:lang w:val="ru-RU"/>
        </w:rPr>
        <w:br/>
        <w:t>и организаций с применением IT-технологий на сайте oce</w:t>
      </w:r>
      <w:r>
        <w:t>n</w:t>
      </w:r>
      <w:r>
        <w:rPr>
          <w:lang w:val="ru-RU"/>
        </w:rPr>
        <w:t>ka.belregio</w:t>
      </w:r>
      <w:r>
        <w:t>n</w:t>
      </w:r>
      <w:r>
        <w:rPr>
          <w:lang w:val="ru-RU"/>
        </w:rPr>
        <w:t>.ru, а также применения результатов опросов;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lang w:val="ru-RU"/>
        </w:rPr>
      </w:pPr>
      <w:r>
        <w:rPr>
          <w:lang w:val="ru-RU"/>
        </w:rPr>
        <w:t>- распоряжение админис</w:t>
      </w:r>
      <w:r>
        <w:rPr>
          <w:lang w:val="ru-RU"/>
        </w:rPr>
        <w:t xml:space="preserve">трации муниципального района «Чернянский район» Белгородской области от 14 февраля 2025 года </w:t>
      </w:r>
      <w:r>
        <w:rPr>
          <w:lang w:val="ru-RU"/>
        </w:rPr>
        <w:br/>
        <w:t>№ 104-р «О подготовке и представлении данных о достигнутых значениях ключевых показателей эффективности деятельности управленческой команды администрации муниципа</w:t>
      </w:r>
      <w:r>
        <w:rPr>
          <w:lang w:val="ru-RU"/>
        </w:rPr>
        <w:t>льного района «Чернянский район» Белгородской области.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lang w:val="ru-RU"/>
        </w:rPr>
      </w:pPr>
      <w:r>
        <w:rPr>
          <w:lang w:val="ru-RU"/>
        </w:rPr>
        <w:t>Координатором и уполномоченным органом по организации проведения мониторинга в регионе является министерство цифрового развития Белгородской области.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lang w:val="ru-RU"/>
        </w:rPr>
      </w:pPr>
      <w:r>
        <w:rPr>
          <w:lang w:val="ru-RU"/>
        </w:rPr>
        <w:t>В качестве исходных данных для проведения мониторин</w:t>
      </w:r>
      <w:r>
        <w:rPr>
          <w:lang w:val="ru-RU"/>
        </w:rPr>
        <w:t>га используется информация ОМСУ (муниципальные статистические сведения), Территориального органа Федеральной службы государственной статистики по Белгородской области, исполнительных органов Белгородской области (уточненные значения показателей эффективнос</w:t>
      </w:r>
      <w:r>
        <w:rPr>
          <w:lang w:val="ru-RU"/>
        </w:rPr>
        <w:t>ти деятельности ОМСУ с учётом сведений ведомственных статистик).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lang w:val="ru-RU"/>
        </w:rPr>
      </w:pPr>
      <w:r>
        <w:rPr>
          <w:lang w:val="ru-RU"/>
        </w:rPr>
        <w:lastRenderedPageBreak/>
        <w:t>Оценка показателей эффективности деятельности ОМСУ проводится в разрезе 41-го показателя по десяти направлениям: 1) экономическое развитие; 2) дошкольное образование; 3) общее и дополнительно</w:t>
      </w:r>
      <w:r>
        <w:rPr>
          <w:lang w:val="ru-RU"/>
        </w:rPr>
        <w:t xml:space="preserve">е образование; 4) культура; 5) физическая культура и спорт; 6) жилищное строительство и обеспечение граждан жильём; 7) жилищно-коммунальное хозяйство; 8) организация муниципального управления; </w:t>
      </w:r>
      <w:r>
        <w:rPr>
          <w:lang w:val="ru-RU"/>
        </w:rPr>
        <w:br/>
        <w:t xml:space="preserve">9) энергосбережение и повышение энергетической эффективности; </w:t>
      </w:r>
      <w:r>
        <w:rPr>
          <w:lang w:val="ru-RU"/>
        </w:rPr>
        <w:br/>
        <w:t>10) независимая оценка качества условий оказания услуг муниципальными организациями(по отраслям «Культура», «Образование», «Социальное обслуживание»).</w:t>
      </w:r>
    </w:p>
    <w:p w:rsidR="000D61D2" w:rsidRDefault="000D61D2">
      <w:pPr>
        <w:spacing w:after="0" w:line="235" w:lineRule="auto"/>
        <w:ind w:hanging="1"/>
        <w:contextualSpacing/>
        <w:jc w:val="center"/>
        <w:rPr>
          <w:rFonts w:ascii="Times New Roman" w:hAnsi="Times New Roman" w:cs="Times New Roman"/>
        </w:rPr>
      </w:pPr>
    </w:p>
    <w:p w:rsidR="000D61D2" w:rsidRDefault="001A00CF">
      <w:pPr>
        <w:spacing w:after="0" w:line="235" w:lineRule="auto"/>
        <w:ind w:hanging="1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position w:val="-1"/>
          <w:sz w:val="28"/>
        </w:rPr>
        <w:t xml:space="preserve">3. Анализ эффективности деятельности ОМСУ за отчетный год </w:t>
      </w:r>
    </w:p>
    <w:p w:rsidR="000D61D2" w:rsidRDefault="000D61D2">
      <w:pPr>
        <w:spacing w:after="0" w:line="235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lang w:val="ru-RU"/>
        </w:rPr>
      </w:pPr>
      <w:r>
        <w:rPr>
          <w:lang w:val="ru-RU"/>
        </w:rPr>
        <w:t>Деятельность администрации Чернянского райо</w:t>
      </w:r>
      <w:r>
        <w:rPr>
          <w:lang w:val="ru-RU"/>
        </w:rPr>
        <w:t xml:space="preserve">на направлена           на эффективное и своевременное решение стоящих перед районом конкретных задач. Обеспечение социально-экономической устойчивости района стало возможным благодаря тесному сотрудничеству </w:t>
      </w:r>
      <w:r>
        <w:rPr>
          <w:lang w:val="ru-RU"/>
        </w:rPr>
        <w:br/>
        <w:t>с Правительством области, Белгородской областно</w:t>
      </w:r>
      <w:r>
        <w:rPr>
          <w:lang w:val="ru-RU"/>
        </w:rPr>
        <w:t xml:space="preserve">й Думой, территориальными федеральными органами власти в Белгородской области, а также ответственному поведению бизнеса и граждан.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lang w:val="ru-RU"/>
        </w:rPr>
      </w:pPr>
      <w:r>
        <w:rPr>
          <w:lang w:val="ru-RU" w:eastAsia="ru-RU"/>
        </w:rPr>
        <w:t xml:space="preserve">В отчётном году общественно-политическая ситуация на территории района оставалась стабильной.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lang w:val="ru-RU"/>
        </w:rPr>
      </w:pPr>
      <w:r>
        <w:rPr>
          <w:lang w:val="ru-RU" w:eastAsia="ru-RU"/>
        </w:rPr>
        <w:t>Такие формы работы, как разви</w:t>
      </w:r>
      <w:r>
        <w:rPr>
          <w:lang w:val="ru-RU" w:eastAsia="ru-RU"/>
        </w:rPr>
        <w:t xml:space="preserve">тие прямого диалога власти </w:t>
      </w:r>
      <w:r>
        <w:rPr>
          <w:lang w:val="ru-RU" w:eastAsia="ru-RU"/>
        </w:rPr>
        <w:br/>
        <w:t>с гражданами и общественное самоуправление, показали свою эффективность. Поэтому деятельность в этом направлении будет продолжена в 2025 году.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lang w:val="ru-RU"/>
        </w:rPr>
      </w:pPr>
      <w:r>
        <w:rPr>
          <w:lang w:val="ru-RU" w:eastAsia="ru-RU"/>
        </w:rPr>
        <w:t xml:space="preserve">В 2024 году в администрацию Чернянского района поступило </w:t>
      </w:r>
      <w:r>
        <w:rPr>
          <w:lang w:val="ru-RU" w:eastAsia="ru-RU"/>
        </w:rPr>
        <w:br/>
        <w:t xml:space="preserve">417 обращений граждан, что </w:t>
      </w:r>
      <w:r>
        <w:rPr>
          <w:lang w:val="ru-RU" w:eastAsia="ru-RU"/>
        </w:rPr>
        <w:t xml:space="preserve">на 16,6% меньше чем в 2023 году.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lang w:val="ru-RU"/>
        </w:rPr>
      </w:pPr>
      <w:r>
        <w:rPr>
          <w:lang w:val="ru-RU" w:eastAsia="ru-RU"/>
        </w:rPr>
        <w:t xml:space="preserve">Все обращения граждан были рассмотрены, вопросы решены или </w:t>
      </w:r>
      <w:r>
        <w:rPr>
          <w:lang w:val="ru-RU" w:eastAsia="ru-RU"/>
        </w:rPr>
        <w:br/>
        <w:t xml:space="preserve">их реализация взята под контроль, заявителям даны ответы.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lang w:val="ru-RU"/>
        </w:rPr>
      </w:pPr>
      <w:r>
        <w:rPr>
          <w:lang w:val="ru-RU" w:eastAsia="ru-RU"/>
        </w:rPr>
        <w:t>С целью оперативного реагирования на возникающие у граждан острые социальные, бытовые, экономические, п</w:t>
      </w:r>
      <w:r>
        <w:rPr>
          <w:lang w:val="ru-RU" w:eastAsia="ru-RU"/>
        </w:rPr>
        <w:t xml:space="preserve">равовые проблемы </w:t>
      </w:r>
      <w:r>
        <w:rPr>
          <w:lang w:val="ru-RU" w:eastAsia="ru-RU"/>
        </w:rPr>
        <w:br/>
        <w:t xml:space="preserve">в 2024 году организовано и проведено </w:t>
      </w:r>
      <w:r>
        <w:rPr>
          <w:lang w:val="ru-RU"/>
        </w:rPr>
        <w:t xml:space="preserve">46 личных приемов граждан, </w:t>
      </w:r>
      <w:r>
        <w:rPr>
          <w:lang w:val="ru-RU"/>
        </w:rPr>
        <w:br/>
        <w:t>6 личных выездных приема,  на которых было принято - 165  человек.</w:t>
      </w:r>
    </w:p>
    <w:p w:rsidR="000D61D2" w:rsidRDefault="000D61D2">
      <w:pPr>
        <w:pStyle w:val="12"/>
        <w:spacing w:line="235" w:lineRule="auto"/>
        <w:ind w:firstLine="720"/>
        <w:contextualSpacing/>
        <w:jc w:val="both"/>
        <w:rPr>
          <w:lang w:val="ru-RU"/>
        </w:rPr>
      </w:pPr>
    </w:p>
    <w:p w:rsidR="000D61D2" w:rsidRDefault="001A00CF">
      <w:pPr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 Анализ сферы</w:t>
      </w:r>
    </w:p>
    <w:p w:rsidR="000D61D2" w:rsidRDefault="001A00CF">
      <w:pPr>
        <w:spacing w:after="0" w:line="235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Экономическое развитие»</w:t>
      </w:r>
    </w:p>
    <w:p w:rsidR="000D61D2" w:rsidRDefault="000D61D2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u w:val="single"/>
        </w:rPr>
      </w:pP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lang w:val="ru-RU"/>
        </w:rPr>
      </w:pPr>
      <w:r>
        <w:rPr>
          <w:lang w:val="ru-RU"/>
        </w:rPr>
        <w:t xml:space="preserve">На территории района осуществляют деятельность               </w:t>
      </w:r>
      <w:r>
        <w:rPr>
          <w:lang w:val="ru-RU"/>
        </w:rPr>
        <w:t xml:space="preserve">                 8 промышленных, 8 сельскохозяйственных предприятий, 1 транспортная и 1 строительная организация, а также предприятия малого бизнеса, индивидуальные   предприниматели и физические лица, плательщики налога на профессиональный доход.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b/>
          <w:szCs w:val="28"/>
          <w:lang w:val="ru-RU"/>
        </w:rPr>
      </w:pPr>
      <w:r>
        <w:rPr>
          <w:lang w:val="ru-RU"/>
        </w:rPr>
        <w:t>Общий об</w:t>
      </w:r>
      <w:r>
        <w:rPr>
          <w:lang w:val="ru-RU"/>
        </w:rPr>
        <w:t>ъем отгруженных товаров собственного производства, выполненных работ и услуг собственными силами по всем видам деятельности за  2024 год составил 16 936,1  млн. рублей.</w:t>
      </w:r>
      <w:r>
        <w:rPr>
          <w:lang w:val="ru-RU"/>
        </w:rPr>
        <w:tab/>
        <w:t xml:space="preserve">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/>
        </w:rPr>
      </w:pPr>
      <w:r>
        <w:rPr>
          <w:lang w:val="ru-RU"/>
        </w:rPr>
        <w:lastRenderedPageBreak/>
        <w:t>Объем отгруженных товаров собственного производства, выполненных работ и услуг собственными силами по обрабатывающим производствам за отчетный период составил 12 459,7 млн. рублей, что на 7,9% больше 2023 года.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/>
        </w:rPr>
      </w:pPr>
      <w:r>
        <w:rPr>
          <w:lang w:val="ru-RU"/>
        </w:rPr>
        <w:t>Оборот организаций по всем видам экономическо</w:t>
      </w:r>
      <w:r>
        <w:rPr>
          <w:lang w:val="ru-RU"/>
        </w:rPr>
        <w:t xml:space="preserve">й деятельности за 2024 год составил 23 711,1 млн. рублей, что выше 2023 года на 20%. Оборот организаций по обрабатывающим производствам составил </w:t>
      </w:r>
      <w:r>
        <w:rPr>
          <w:lang w:val="ru-RU"/>
        </w:rPr>
        <w:br/>
        <w:t xml:space="preserve">12 914,3 млн. рублей, что выше аналогичного периода прошлого года </w:t>
      </w:r>
      <w:r>
        <w:rPr>
          <w:lang w:val="ru-RU"/>
        </w:rPr>
        <w:br/>
        <w:t>на 11,7%.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lang w:val="ru-RU"/>
        </w:rPr>
      </w:pPr>
      <w:r>
        <w:rPr>
          <w:lang w:val="ru-RU"/>
        </w:rPr>
        <w:t>Немаловажную роль в развитии экон</w:t>
      </w:r>
      <w:r>
        <w:rPr>
          <w:lang w:val="ru-RU"/>
        </w:rPr>
        <w:t xml:space="preserve">омики района играет сельское хозяйство. Сельхозпредприятия не только обеспечивают население рабочими местами, снабжают экологически чистыми качественными продовольственными товарами местного производства, но и помогают </w:t>
      </w:r>
      <w:r>
        <w:rPr>
          <w:lang w:val="ru-RU"/>
        </w:rPr>
        <w:br/>
        <w:t>в решении вопросов местного значения</w:t>
      </w:r>
      <w:r>
        <w:rPr>
          <w:lang w:val="ru-RU"/>
        </w:rPr>
        <w:t xml:space="preserve"> на селе.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lang w:val="ru-RU"/>
        </w:rPr>
      </w:pPr>
      <w:r>
        <w:rPr>
          <w:lang w:val="ru-RU"/>
        </w:rPr>
        <w:t>Наиболее крупные предприятия агропромышленного комплекса района: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/>
        </w:rPr>
      </w:pPr>
      <w:r>
        <w:rPr>
          <w:lang w:val="ru-RU"/>
        </w:rPr>
        <w:t xml:space="preserve">ООО «Русагро-Инвест», ЗАО «Краснояружская зерновая компания», ЗАО «Молоко Белогорья», АО «Орлик», ООО «Горби-Инвест». </w:t>
      </w:r>
      <w:r>
        <w:rPr>
          <w:lang w:val="ru-RU"/>
        </w:rPr>
        <w:br/>
        <w:t xml:space="preserve">ООО «Бородинское».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/>
        </w:rPr>
      </w:pPr>
      <w:r>
        <w:rPr>
          <w:lang w:val="ru-RU"/>
        </w:rPr>
        <w:t>Оборот розничной торговли по организациям</w:t>
      </w:r>
      <w:r>
        <w:rPr>
          <w:lang w:val="ru-RU"/>
        </w:rPr>
        <w:t xml:space="preserve">, не относящихся </w:t>
      </w:r>
      <w:r>
        <w:rPr>
          <w:lang w:val="ru-RU"/>
        </w:rPr>
        <w:br/>
        <w:t xml:space="preserve">к субъектам МСП (включая средние предприятия) за 2024 год составил </w:t>
      </w:r>
      <w:r>
        <w:rPr>
          <w:lang w:val="ru-RU"/>
        </w:rPr>
        <w:br/>
        <w:t>2 676,9 млн руб., что выше 2023 года на 31,5%.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/>
        </w:rPr>
      </w:pPr>
      <w:r>
        <w:rPr>
          <w:lang w:val="ru-RU"/>
        </w:rPr>
        <w:t>Оборот розничной торговли пищевыми продуктами, включая напитки и табачные изделия по организациям, не относящихся к субъект</w:t>
      </w:r>
      <w:r>
        <w:rPr>
          <w:lang w:val="ru-RU"/>
        </w:rPr>
        <w:t xml:space="preserve">ам МСП (включая средние предприятия) за 2024 год составил </w:t>
      </w:r>
      <w:r>
        <w:rPr>
          <w:lang w:val="ru-RU"/>
        </w:rPr>
        <w:br/>
        <w:t>1 709,9 млн рублей, что выше 2023 года на 29,8%.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/>
        </w:rPr>
      </w:pPr>
      <w:r>
        <w:rPr>
          <w:lang w:val="ru-RU"/>
        </w:rPr>
        <w:t xml:space="preserve">Оборот общественного питания по организациям, не относящихся     к субъектам МСП (включая средние предприятия) за 2024 год составил        22,9 млн </w:t>
      </w:r>
      <w:r>
        <w:rPr>
          <w:lang w:val="ru-RU"/>
        </w:rPr>
        <w:t>рублей, что ниже прошлого года на 1%.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/>
        </w:rPr>
      </w:pPr>
      <w:r>
        <w:rPr>
          <w:lang w:val="ru-RU"/>
        </w:rPr>
        <w:t xml:space="preserve">В 2024 году проведено 28 сельскохозяйственных ярмарок выходного дня, на которых предприятия, предприниматели, ЛПХ и КФХ реализовали зерно, овощи, фрукты, мед, растительное масло, живую и копченую рыбу, сахар, саженцы, </w:t>
      </w:r>
      <w:r>
        <w:rPr>
          <w:lang w:val="ru-RU"/>
        </w:rPr>
        <w:t>колбасные изделия и т.д. В каждой ярмарке приняли участие от 20 до 45 субъектов.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color w:val="000000" w:themeColor="text1"/>
          <w:szCs w:val="28"/>
          <w:lang w:val="ru-RU"/>
        </w:rPr>
      </w:pPr>
      <w:r>
        <w:rPr>
          <w:lang w:val="ru-RU"/>
        </w:rPr>
        <w:t>Еженедельно по воскресеньям на территории ООО «ДЭНИС»             и ООО «Центральный рынок» проводились ярмарки на безвозмездной основе. ЛПХ района реализовывали выращенную пр</w:t>
      </w:r>
      <w:r>
        <w:rPr>
          <w:lang w:val="ru-RU"/>
        </w:rPr>
        <w:t xml:space="preserve">одукцию: рассаду, овощи, фрукты, ягоды, растительное масло, живую рыбу, саженцы. </w:t>
      </w:r>
      <w:r>
        <w:rPr>
          <w:lang w:val="ru-RU"/>
        </w:rPr>
        <w:br/>
        <w:t>В ярмарках приняли участие 25  ЛПХ и КФХ.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lang w:val="ru-RU"/>
        </w:rPr>
      </w:pPr>
      <w:r>
        <w:rPr>
          <w:lang w:val="ru-RU"/>
        </w:rPr>
        <w:t>6-8 марта 2024 года проведена ярмарка цветов, приуроченная              к международному женскому дню 8 марта, в которой приняли уча</w:t>
      </w:r>
      <w:r>
        <w:rPr>
          <w:lang w:val="ru-RU"/>
        </w:rPr>
        <w:t>стие                               23 хозяйствующих субъекта района.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color w:val="000000" w:themeColor="text1"/>
          <w:lang w:val="ru-RU"/>
        </w:rPr>
      </w:pPr>
      <w:r>
        <w:rPr>
          <w:lang w:val="ru-RU"/>
        </w:rPr>
        <w:t>В 2024 году в районе открылось 7 магазинов, 2 пункта выдачи товаров, 1 автомагазин. Создано 23 рабочих места. Функционируют также учреждения здравоохранения, образования и культуры, социа</w:t>
      </w:r>
      <w:r>
        <w:rPr>
          <w:lang w:val="ru-RU"/>
        </w:rPr>
        <w:t>льной защиты населения, кредитно-финансовые и страховые организации.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lang w:val="ru-RU"/>
        </w:rPr>
      </w:pPr>
      <w:r>
        <w:rPr>
          <w:lang w:val="ru-RU"/>
        </w:rPr>
        <w:lastRenderedPageBreak/>
        <w:t>В районе активно проводятся мероприятия по информатизации, ведется строительство объектов производственного, социального значения, строительство жилья, дорог.</w:t>
      </w:r>
    </w:p>
    <w:p w:rsidR="000D61D2" w:rsidRDefault="000D61D2">
      <w:pPr>
        <w:pStyle w:val="12"/>
        <w:spacing w:line="235" w:lineRule="auto"/>
        <w:ind w:firstLine="720"/>
        <w:contextualSpacing/>
        <w:jc w:val="both"/>
        <w:rPr>
          <w:lang w:val="ru-RU"/>
        </w:rPr>
      </w:pPr>
    </w:p>
    <w:p w:rsidR="000D61D2" w:rsidRDefault="001A00CF">
      <w:pPr>
        <w:pStyle w:val="af8"/>
        <w:spacing w:after="0" w:line="235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Показатель № 1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«Число субъе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ктов малого и среднего предпринимательства в расчете на 10 тыс. человек населения»</w:t>
      </w:r>
    </w:p>
    <w:p w:rsidR="000D61D2" w:rsidRDefault="000D61D2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highlight w:val="cyan"/>
          <w:u w:val="single"/>
        </w:rPr>
      </w:pP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/>
        </w:rPr>
      </w:pPr>
      <w:r>
        <w:rPr>
          <w:lang w:val="ru-RU"/>
        </w:rPr>
        <w:t xml:space="preserve">Число субъектов малого и среднего предпринимательства </w:t>
      </w:r>
      <w:r>
        <w:rPr>
          <w:lang w:val="ru-RU"/>
        </w:rPr>
        <w:br/>
        <w:t>в 2024 году в расчете на 10 тыс. человек населения составило 334 единицы. Данный показатель рассчитан на основе федер</w:t>
      </w:r>
      <w:r>
        <w:rPr>
          <w:lang w:val="ru-RU"/>
        </w:rPr>
        <w:t>ального статистического наблюдения. Периодичность формирования официальной статистки по малому и среднему предпринимательству 1 раз в 5 лет. (Данные Белгородстата, раздел «Муниципальная статистика» – «Показатели для подготовки докладов глав муниципальных о</w:t>
      </w:r>
      <w:r>
        <w:rPr>
          <w:lang w:val="ru-RU"/>
        </w:rPr>
        <w:t xml:space="preserve">бразований об эффективности деятельности ОМСУ за отчетный год» на сайте http:belg.gks.ru). </w:t>
      </w:r>
      <w:r>
        <w:rPr>
          <w:lang w:val="ru-RU"/>
        </w:rPr>
        <w:br/>
        <w:t xml:space="preserve">По состоянию на 01 января  2025 года в районе действуют 967 субъектов малого и среднего бизнеса, из них – из них 95 малых предприятий (включая микропредприятия), 3 </w:t>
      </w:r>
      <w:r>
        <w:rPr>
          <w:lang w:val="ru-RU"/>
        </w:rPr>
        <w:t xml:space="preserve">средних предприятий, </w:t>
      </w:r>
      <w:r>
        <w:rPr>
          <w:lang w:val="ru-RU"/>
        </w:rPr>
        <w:br/>
        <w:t>869 индивидуальных предпринимателей.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/>
        </w:rPr>
      </w:pPr>
      <w:r>
        <w:rPr>
          <w:lang w:val="ru-RU"/>
        </w:rPr>
        <w:t xml:space="preserve">В отчетном периоде объем производства продукции, работ, услуг малых и средних предприятий (включая микропредприятия) достиг </w:t>
      </w:r>
      <w:r>
        <w:rPr>
          <w:lang w:val="ru-RU"/>
        </w:rPr>
        <w:br/>
        <w:t>10 968,2 млн рублей.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/>
        </w:rPr>
      </w:pPr>
      <w:r>
        <w:rPr>
          <w:lang w:val="ru-RU"/>
        </w:rPr>
        <w:t>Всего в сфере малого бизнеса, включая индивидуальны</w:t>
      </w:r>
      <w:r>
        <w:rPr>
          <w:lang w:val="ru-RU"/>
        </w:rPr>
        <w:t>х предпринимателей и малые предприятия, работает 2 557 человек.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/>
        </w:rPr>
      </w:pPr>
      <w:r>
        <w:rPr>
          <w:lang w:val="ru-RU"/>
        </w:rPr>
        <w:t>С целью изучения общего состояния малого и среднего предпринимательства в Чернянском районе и перспектив его развития, оценки этого состояния и проблем, тормозящих его развитие, регулярно пров</w:t>
      </w:r>
      <w:r>
        <w:rPr>
          <w:lang w:val="ru-RU"/>
        </w:rPr>
        <w:t xml:space="preserve">одится мониторинг состояния и проблем развития малого и среднего предпринимательства Чернянского района.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/>
        </w:rPr>
      </w:pPr>
      <w:r>
        <w:rPr>
          <w:lang w:val="ru-RU"/>
        </w:rPr>
        <w:t xml:space="preserve">Работает единая общественная приемная по вопросам малого бизнеса и телефон «горячей линии», позвонив на который любой предприниматель может заявить о </w:t>
      </w:r>
      <w:r>
        <w:rPr>
          <w:lang w:val="ru-RU"/>
        </w:rPr>
        <w:t xml:space="preserve">несанкционированных проверках, необоснованных претензиях со стороны правоохранительных органов.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/>
        </w:rPr>
      </w:pPr>
      <w:r>
        <w:rPr>
          <w:lang w:val="ru-RU"/>
        </w:rPr>
        <w:t>Для поддержки развития малого бизнеса на территории муниципального района «Чернянский район» администрацией Чернянского района осуществляется поддержка начинаю</w:t>
      </w:r>
      <w:r>
        <w:rPr>
          <w:lang w:val="ru-RU"/>
        </w:rPr>
        <w:t xml:space="preserve">щих предпринимателей (самозанятых) посредством социального контракта. Так, за 2024 год социальный контракт был одобрен 58 самозанятым </w:t>
      </w:r>
      <w:r>
        <w:rPr>
          <w:lang w:val="ru-RU"/>
        </w:rPr>
        <w:br/>
        <w:t xml:space="preserve">на развитие личного подсобного хозяйства и 70 индивидуальным предпринимателям. 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/>
        </w:rPr>
      </w:pPr>
      <w:r>
        <w:rPr>
          <w:lang w:val="ru-RU"/>
        </w:rPr>
        <w:t xml:space="preserve">В 2024 году за консультационной помощью </w:t>
      </w:r>
      <w:r>
        <w:rPr>
          <w:lang w:val="ru-RU"/>
        </w:rPr>
        <w:t xml:space="preserve">в отдел потребительского рынка экономического управления администрации Чернянского района обратились 28 субъектов малого и среднего предпринимательства. Консультации касались участия в конкурсах </w:t>
      </w:r>
      <w:r>
        <w:rPr>
          <w:lang w:val="ru-RU"/>
        </w:rPr>
        <w:br/>
        <w:t>на возмещение части затрат на оборудование, проводимых Минис</w:t>
      </w:r>
      <w:r>
        <w:rPr>
          <w:lang w:val="ru-RU"/>
        </w:rPr>
        <w:t xml:space="preserve">терством экономического развития и промышленности Белгородской области, </w:t>
      </w:r>
      <w:r>
        <w:rPr>
          <w:lang w:val="ru-RU"/>
        </w:rPr>
        <w:br/>
      </w:r>
      <w:r>
        <w:rPr>
          <w:lang w:val="ru-RU"/>
        </w:rPr>
        <w:lastRenderedPageBreak/>
        <w:t>на получение поддержки в виде микрокредитования, оказываемой микрокредитной кампанией Белгородский областной фонд поддержки малого и среднего предпринимательства.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/>
        </w:rPr>
      </w:pPr>
      <w:r>
        <w:rPr>
          <w:lang w:val="ru-RU"/>
        </w:rPr>
        <w:t>В целях стимулирован</w:t>
      </w:r>
      <w:r>
        <w:rPr>
          <w:lang w:val="ru-RU"/>
        </w:rPr>
        <w:t xml:space="preserve">ия предпринимательской активности путем предоставления мер государственной поддержки, администрацией района обеспечиваются организационные мероприятия по участию предпринимателей в областных программах. 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/>
        </w:rPr>
      </w:pPr>
      <w:r>
        <w:rPr>
          <w:lang w:val="ru-RU"/>
        </w:rPr>
        <w:t>В рамках муниципальной программы «Развитие экономич</w:t>
      </w:r>
      <w:r>
        <w:rPr>
          <w:lang w:val="ru-RU"/>
        </w:rPr>
        <w:t>еского потенциала и формирование благоприятного предпринимательского климата в Чернянском районе Белгородской области», районной администрацией выделяются гранты начинающим предпринимателям района. В приоритете – развитие бизнеса в сельских населенных пунк</w:t>
      </w:r>
      <w:r>
        <w:rPr>
          <w:lang w:val="ru-RU"/>
        </w:rPr>
        <w:t xml:space="preserve">тах. Так, в декабре 2024 года был проведен конкурс на предоставление грантов администрации Чернянского района начинающим предпринимателям </w:t>
      </w:r>
      <w:r>
        <w:rPr>
          <w:lang w:val="ru-RU"/>
        </w:rPr>
        <w:br/>
        <w:t>на создание собственного бизнеса. Поддержка предоставлена индивидуальному предпринимателю (Бирюковой Любови Анатольев</w:t>
      </w:r>
      <w:r>
        <w:rPr>
          <w:lang w:val="ru-RU"/>
        </w:rPr>
        <w:t xml:space="preserve">не) </w:t>
      </w:r>
      <w:r>
        <w:rPr>
          <w:lang w:val="ru-RU"/>
        </w:rPr>
        <w:br/>
        <w:t>на реализацию проекта «Реконструкция помещения кафе «Визит Зимний».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/>
        </w:rPr>
      </w:pPr>
      <w:r>
        <w:rPr>
          <w:lang w:val="ru-RU"/>
        </w:rPr>
        <w:t>В рамках реализации муниципальной  программы «Развитие экономического потенциала и формирование благоприятного предпринимательского климата в Чернянском районе Белгородской области»</w:t>
      </w:r>
      <w:r>
        <w:rPr>
          <w:lang w:val="ru-RU"/>
        </w:rPr>
        <w:t xml:space="preserve"> подпрограммы 2 «Развитие туризма в Чернянском районе»  </w:t>
      </w:r>
      <w:r>
        <w:rPr>
          <w:lang w:val="ru-RU"/>
        </w:rPr>
        <w:br/>
        <w:t>за 2024 год осуществлены следующие мероприятия: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/>
        </w:rPr>
      </w:pPr>
      <w:r>
        <w:rPr>
          <w:lang w:val="ru-RU"/>
        </w:rPr>
        <w:t xml:space="preserve">организация и проведение конкурса «Путешествие по старинным рецептам блюд Чернянского района»;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/>
        </w:rPr>
      </w:pPr>
      <w:r>
        <w:rPr>
          <w:lang w:val="ru-RU"/>
        </w:rPr>
        <w:t>проведение фестиваля спортивного туризма «Зимний Движ»</w:t>
      </w:r>
      <w:r>
        <w:rPr>
          <w:lang w:val="ru-RU"/>
        </w:rPr>
        <w:t xml:space="preserve">;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/>
        </w:rPr>
      </w:pPr>
      <w:r>
        <w:rPr>
          <w:lang w:val="ru-RU"/>
        </w:rPr>
        <w:t xml:space="preserve">организация экскурсионных поездок по Чернянскому району </w:t>
      </w:r>
      <w:r>
        <w:rPr>
          <w:lang w:val="ru-RU"/>
        </w:rPr>
        <w:br/>
        <w:t>в рамках проекта «У себя в гостях»;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/>
        </w:rPr>
      </w:pPr>
      <w:r>
        <w:rPr>
          <w:lang w:val="ru-RU"/>
        </w:rPr>
        <w:t>разработан маршрут промышленного туризма «Масло Бородинское»                   ИП Фартучный А.М.;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/>
        </w:rPr>
      </w:pPr>
      <w:r>
        <w:rPr>
          <w:lang w:val="ru-RU"/>
        </w:rPr>
        <w:t>проведение фестиваля спортивного туризма «Зимний Движ»;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/>
        </w:rPr>
      </w:pPr>
      <w:r>
        <w:rPr>
          <w:lang w:val="ru-RU"/>
        </w:rPr>
        <w:t>провед</w:t>
      </w:r>
      <w:r>
        <w:rPr>
          <w:lang w:val="ru-RU"/>
        </w:rPr>
        <w:t>ение фестиваля водного туризма «Оскол Ривер»;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/>
        </w:rPr>
      </w:pPr>
      <w:r>
        <w:rPr>
          <w:lang w:val="ru-RU"/>
        </w:rPr>
        <w:t>проведение фестиваля рыбалки «Чернянский поплавок»;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/>
        </w:rPr>
      </w:pPr>
      <w:r>
        <w:rPr>
          <w:lang w:val="ru-RU"/>
        </w:rPr>
        <w:t>организация и проведение областного туристско-спортивного фестиваля «Туристический триатлон»;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/>
        </w:rPr>
      </w:pPr>
      <w:r>
        <w:rPr>
          <w:lang w:val="ru-RU"/>
        </w:rPr>
        <w:t>организация тестовых экскурсий для школьников и жителей старшего</w:t>
      </w:r>
      <w:r>
        <w:rPr>
          <w:lang w:val="ru-RU"/>
        </w:rPr>
        <w:t xml:space="preserve"> поколения в рамках проекта «Чернянский район: храмы </w:t>
      </w:r>
      <w:r>
        <w:rPr>
          <w:lang w:val="ru-RU"/>
        </w:rPr>
        <w:br/>
        <w:t>и родники»;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/>
        </w:rPr>
      </w:pPr>
      <w:r>
        <w:rPr>
          <w:lang w:val="ru-RU"/>
        </w:rPr>
        <w:t>проведение экскурсий для школьников и студентов СПО по промышленному туризму  на Чернянском сахарном заводе;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/>
        </w:rPr>
      </w:pPr>
      <w:r>
        <w:rPr>
          <w:lang w:val="ru-RU"/>
        </w:rPr>
        <w:t>организация и участие в областном гастрономическом событии «ОГО!ПРиПЕК» в г. Коро</w:t>
      </w:r>
      <w:r>
        <w:rPr>
          <w:lang w:val="ru-RU"/>
        </w:rPr>
        <w:t>ча.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lang w:val="ru-RU"/>
        </w:rPr>
      </w:pPr>
      <w:r>
        <w:rPr>
          <w:lang w:val="ru-RU"/>
        </w:rPr>
        <w:t>Туристический поток в 2024 году составил  – 106 334 человека.</w:t>
      </w:r>
    </w:p>
    <w:p w:rsidR="000D61D2" w:rsidRDefault="000D61D2">
      <w:pPr>
        <w:pStyle w:val="12"/>
        <w:spacing w:line="235" w:lineRule="auto"/>
        <w:ind w:firstLine="720"/>
        <w:contextualSpacing/>
        <w:jc w:val="both"/>
        <w:rPr>
          <w:highlight w:val="white"/>
          <w:lang w:val="ru-RU"/>
        </w:rPr>
      </w:pPr>
    </w:p>
    <w:p w:rsidR="000D61D2" w:rsidRDefault="001A00CF">
      <w:pPr>
        <w:spacing w:after="0" w:line="226" w:lineRule="auto"/>
        <w:contextualSpacing/>
        <w:jc w:val="center"/>
        <w:rPr>
          <w:rFonts w:ascii="Times New Roman" w:eastAsia="Times New Roman" w:hAnsi="Times New Roman" w:cs="Times New Roman"/>
          <w:position w:val="-1"/>
          <w:sz w:val="28"/>
          <w:szCs w:val="28"/>
          <w:highlight w:val="cyan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Показатель №2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«Доля среднесписочной численности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работников (без внешних совместителей) малых и средних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предприятий в среднесписочной численности работников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(без внешних совместителей) вс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ех предприятий и организаций»</w:t>
      </w:r>
    </w:p>
    <w:p w:rsidR="000D61D2" w:rsidRDefault="000D61D2">
      <w:pPr>
        <w:spacing w:after="0" w:line="226" w:lineRule="auto"/>
        <w:contextualSpacing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highlight w:val="cyan"/>
          <w:u w:val="single"/>
        </w:rPr>
      </w:pPr>
    </w:p>
    <w:p w:rsidR="000D61D2" w:rsidRDefault="001A00CF">
      <w:pPr>
        <w:pStyle w:val="12"/>
        <w:spacing w:line="226" w:lineRule="auto"/>
        <w:ind w:firstLine="720"/>
        <w:contextualSpacing/>
        <w:jc w:val="both"/>
        <w:rPr>
          <w:szCs w:val="28"/>
          <w:lang w:val="ru-RU"/>
        </w:rPr>
      </w:pPr>
      <w:r>
        <w:rPr>
          <w:lang w:val="ru-RU" w:eastAsia="ru-RU"/>
        </w:rPr>
        <w:t xml:space="preserve">Данный показатель рассчитан на основе федерального статистического наблюдения и составил 17,8 %. (Периодичность формирования официальной статистки по малому и среднему предпринимательству 1 раз в 5 лет. Данные Белгородстата, </w:t>
      </w:r>
      <w:r>
        <w:rPr>
          <w:lang w:val="ru-RU" w:eastAsia="ru-RU"/>
        </w:rPr>
        <w:t xml:space="preserve">раздел «Муниципальная статистика» – «Показатели для подготовки докладов глав муниципальных образований об эффективности деятельности ОМСУ </w:t>
      </w:r>
      <w:r>
        <w:rPr>
          <w:lang w:val="ru-RU" w:eastAsia="ru-RU"/>
        </w:rPr>
        <w:br/>
        <w:t>за отчетный год» на сайте http:belg.gks.ru).</w:t>
      </w:r>
    </w:p>
    <w:p w:rsidR="000D61D2" w:rsidRDefault="001A00CF">
      <w:pPr>
        <w:pStyle w:val="12"/>
        <w:spacing w:line="226" w:lineRule="auto"/>
        <w:ind w:firstLine="720"/>
        <w:contextualSpacing/>
        <w:jc w:val="both"/>
        <w:rPr>
          <w:szCs w:val="28"/>
          <w:highlight w:val="white"/>
          <w:lang w:val="ru-RU" w:eastAsia="ru-RU"/>
        </w:rPr>
      </w:pPr>
      <w:r>
        <w:rPr>
          <w:lang w:val="ru-RU" w:eastAsia="ru-RU"/>
        </w:rPr>
        <w:t>Состояние малого бизнеса является одним из основных индикаторов качества</w:t>
      </w:r>
      <w:r>
        <w:rPr>
          <w:lang w:val="ru-RU" w:eastAsia="ru-RU"/>
        </w:rPr>
        <w:t xml:space="preserve"> экономической сферы. В районе проводятся плановые мероприятия по ликвидации теневой занятости, повышению заработной платы работников малого и среднего бизнеса.</w:t>
      </w:r>
      <w:r>
        <w:rPr>
          <w:szCs w:val="28"/>
          <w:highlight w:val="white"/>
          <w:lang w:val="ru-RU" w:eastAsia="ru-RU"/>
        </w:rPr>
        <w:t xml:space="preserve"> </w:t>
      </w:r>
    </w:p>
    <w:p w:rsidR="000D61D2" w:rsidRDefault="000D61D2">
      <w:pPr>
        <w:spacing w:after="0" w:line="226" w:lineRule="auto"/>
        <w:contextualSpacing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highlight w:val="cyan"/>
          <w:u w:val="single"/>
        </w:rPr>
      </w:pPr>
    </w:p>
    <w:p w:rsidR="000D61D2" w:rsidRDefault="001A00CF">
      <w:pPr>
        <w:spacing w:after="0" w:line="226" w:lineRule="auto"/>
        <w:contextualSpacing/>
        <w:jc w:val="center"/>
        <w:rPr>
          <w:rFonts w:ascii="Times New Roman" w:eastAsia="Times New Roman" w:hAnsi="Times New Roman" w:cs="Times New Roman"/>
          <w:position w:val="-1"/>
          <w:sz w:val="28"/>
          <w:szCs w:val="28"/>
          <w:highlight w:val="cyan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Показатель №3.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«Объем инвестиций в основной капитал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(за исключением бюджетных средств) в рас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чете на одного жителя»</w:t>
      </w:r>
    </w:p>
    <w:p w:rsidR="000D61D2" w:rsidRDefault="000D61D2">
      <w:pPr>
        <w:spacing w:after="0" w:line="226" w:lineRule="auto"/>
        <w:contextualSpacing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highlight w:val="cyan"/>
          <w:u w:val="single"/>
        </w:rPr>
      </w:pPr>
    </w:p>
    <w:p w:rsidR="000D61D2" w:rsidRDefault="001A00CF">
      <w:pPr>
        <w:pStyle w:val="12"/>
        <w:spacing w:line="226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Главная цель инвестиционной политики администрации Чернянского района – привлечение максимального количества инвестиций в реальный сектор экономики района для обеспечения устойчивых темпов экономического роста, эффективной занятости</w:t>
      </w:r>
      <w:r>
        <w:rPr>
          <w:lang w:val="ru-RU" w:eastAsia="ru-RU"/>
        </w:rPr>
        <w:t xml:space="preserve"> населения, укрепления налоговой базы для решения социальных проблем, развития малого </w:t>
      </w:r>
      <w:r>
        <w:rPr>
          <w:lang w:val="ru-RU" w:eastAsia="ru-RU"/>
        </w:rPr>
        <w:br/>
        <w:t>и среднего бизнеса и инфраструктуры района.</w:t>
      </w:r>
    </w:p>
    <w:p w:rsidR="000D61D2" w:rsidRDefault="001A00CF">
      <w:pPr>
        <w:pStyle w:val="12"/>
        <w:spacing w:line="226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Инвестиции в основной капитал по крупным и средним организациям с учетом средств единых заказчиков за 2024 год составили </w:t>
      </w:r>
      <w:r>
        <w:rPr>
          <w:lang w:val="ru-RU" w:eastAsia="ru-RU"/>
        </w:rPr>
        <w:br/>
        <w:t>2 1</w:t>
      </w:r>
      <w:r>
        <w:rPr>
          <w:lang w:val="ru-RU" w:eastAsia="ru-RU"/>
        </w:rPr>
        <w:t xml:space="preserve">72,5 млн руб., что на 39,6% больше 2023 года в действующих ценах, </w:t>
      </w:r>
      <w:r>
        <w:rPr>
          <w:lang w:val="ru-RU" w:eastAsia="ru-RU"/>
        </w:rPr>
        <w:br/>
        <w:t xml:space="preserve">а в сопоставимых на 29,5%. Увеличение объема инвестиций произошло </w:t>
      </w:r>
      <w:r>
        <w:rPr>
          <w:lang w:val="ru-RU" w:eastAsia="ru-RU"/>
        </w:rPr>
        <w:br/>
        <w:t>за счет реализации проектов ООО «Русагро-Белгород» филиал «Чернянский» - модернизация сахарных заводов Русагро в Белгородс</w:t>
      </w:r>
      <w:r>
        <w:rPr>
          <w:lang w:val="ru-RU" w:eastAsia="ru-RU"/>
        </w:rPr>
        <w:t>кой области для увеличения объемов производства и устройство системы активной вентиляции кагатов сахарной свеклы (система долгосрочного хранения свеклы).</w:t>
      </w:r>
    </w:p>
    <w:p w:rsidR="000D61D2" w:rsidRDefault="001A00CF">
      <w:pPr>
        <w:pStyle w:val="12"/>
        <w:spacing w:line="226" w:lineRule="auto"/>
        <w:ind w:firstLine="720"/>
        <w:contextualSpacing/>
        <w:jc w:val="both"/>
        <w:rPr>
          <w:b/>
          <w:bCs/>
          <w:szCs w:val="28"/>
          <w:lang w:val="ru-RU" w:eastAsia="ru-RU"/>
        </w:rPr>
      </w:pPr>
      <w:r>
        <w:rPr>
          <w:lang w:val="ru-RU" w:eastAsia="ru-RU"/>
        </w:rPr>
        <w:t xml:space="preserve">Источниками финансирования являются как собственные, так </w:t>
      </w:r>
      <w:r>
        <w:rPr>
          <w:lang w:val="ru-RU" w:eastAsia="ru-RU"/>
        </w:rPr>
        <w:br/>
      </w:r>
      <w:r>
        <w:rPr>
          <w:lang w:val="ru-RU" w:eastAsia="ru-RU"/>
        </w:rPr>
        <w:t xml:space="preserve">и привлеченные средства. Из общего объема инвестиции средства были направлены на жилые здания и помещения, здания (кроме жилых) </w:t>
      </w:r>
      <w:r>
        <w:rPr>
          <w:lang w:val="ru-RU" w:eastAsia="ru-RU"/>
        </w:rPr>
        <w:br/>
        <w:t xml:space="preserve">и сооружения, расходы на улучшение земель, а также на машины, оборудование, включая хозяйственный инвентарь, другие объекты </w:t>
      </w:r>
      <w:r>
        <w:rPr>
          <w:lang w:val="ru-RU" w:eastAsia="ru-RU"/>
        </w:rPr>
        <w:br/>
        <w:t xml:space="preserve">и </w:t>
      </w:r>
      <w:r>
        <w:rPr>
          <w:lang w:val="ru-RU" w:eastAsia="ru-RU"/>
        </w:rPr>
        <w:t>прочие инвестиции.</w:t>
      </w:r>
    </w:p>
    <w:p w:rsidR="000D61D2" w:rsidRDefault="000D61D2">
      <w:pPr>
        <w:spacing w:after="0" w:line="226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0D61D2" w:rsidRDefault="001A00CF">
      <w:pPr>
        <w:pStyle w:val="13"/>
        <w:spacing w:after="0" w:line="226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Показатель №4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bCs/>
          <w:sz w:val="28"/>
          <w:szCs w:val="28"/>
        </w:rPr>
        <w:t>«Доля площади земельных участков, являющихся объектами налогообложения земельным налогом, от общей площади территории городского округа (муниципального района)»</w:t>
      </w:r>
    </w:p>
    <w:p w:rsidR="000D61D2" w:rsidRDefault="000D61D2">
      <w:pPr>
        <w:spacing w:after="0" w:line="226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0D61D2" w:rsidRDefault="001A00CF">
      <w:pPr>
        <w:pStyle w:val="12"/>
        <w:spacing w:line="226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Доля площади земельных участков, являющихся объектами налогообложения земельным налогом, от общей площади территории Чернянского района, в 2024 году составляет 81,1 %, что соответствует целевому показателю.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lastRenderedPageBreak/>
        <w:t>В рамках реализации федеральной целевой программ</w:t>
      </w:r>
      <w:r>
        <w:rPr>
          <w:lang w:val="ru-RU" w:eastAsia="ru-RU"/>
        </w:rPr>
        <w:t>ы «Развитие единой государственной системы регистрации прав и кадастрового учета недвижимости» на территории муниципального района «Чернянский район» Белгородской области проводятся комплексные кадастровые работы. В результате комплексных кадастровых работ</w:t>
      </w:r>
      <w:r>
        <w:rPr>
          <w:lang w:val="ru-RU" w:eastAsia="ru-RU"/>
        </w:rPr>
        <w:t xml:space="preserve"> осуществлено внесение в Единый государственных реестр недвижимости достоверных сведений о местоположении границ в координатах объектов недвижимости. </w:t>
      </w:r>
      <w:r>
        <w:rPr>
          <w:lang w:val="ru-RU" w:eastAsia="ru-RU"/>
        </w:rPr>
        <w:br/>
        <w:t xml:space="preserve">Также сформированные земельные участки возможны для предоставления гражданам в собственность.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В плановом</w:t>
      </w:r>
      <w:r>
        <w:rPr>
          <w:lang w:val="ru-RU" w:eastAsia="ru-RU"/>
        </w:rPr>
        <w:t xml:space="preserve"> периоде продолжится реализация мероприятий, которые позволят увеличить значение показателя: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-  проведение комплексных кадастровых работ;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- реализация проекта «Инвентаризация земельных участков под гаражами»;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- выявление брошенных участков и оформление их </w:t>
      </w:r>
      <w:r>
        <w:rPr>
          <w:lang w:val="ru-RU" w:eastAsia="ru-RU"/>
        </w:rPr>
        <w:t>в собственность.</w:t>
      </w:r>
    </w:p>
    <w:p w:rsidR="000D61D2" w:rsidRDefault="000D61D2">
      <w:pPr>
        <w:spacing w:after="0" w:line="235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0D61D2" w:rsidRDefault="001A00CF">
      <w:pPr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 № 5. «Доля прибыльных </w:t>
      </w:r>
    </w:p>
    <w:p w:rsidR="000D61D2" w:rsidRDefault="001A00CF">
      <w:pPr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сельскохозяйственных предприятий в общем их числе»</w:t>
      </w:r>
    </w:p>
    <w:p w:rsidR="000D61D2" w:rsidRDefault="000D61D2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highlight w:val="cyan"/>
          <w:u w:val="single"/>
        </w:rPr>
      </w:pP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pacing w:val="-2"/>
          <w:szCs w:val="28"/>
          <w:lang w:val="ru-RU" w:eastAsia="ru-RU"/>
        </w:rPr>
      </w:pPr>
      <w:r>
        <w:rPr>
          <w:lang w:val="ru-RU" w:eastAsia="ru-RU"/>
        </w:rPr>
        <w:t xml:space="preserve"> По итогам 2024 года целевой показатель выполнен в не полном объеме</w:t>
      </w:r>
      <w:r>
        <w:rPr>
          <w:lang w:val="ru-RU" w:eastAsia="ru-RU"/>
        </w:rPr>
        <w:t xml:space="preserve"> и составляет 83,33% от целевого показателя. Не исполнение целевого показателя связано с тем, что на посевных площадях </w:t>
      </w:r>
      <w:r>
        <w:rPr>
          <w:lang w:val="ru-RU" w:eastAsia="ru-RU"/>
        </w:rPr>
        <w:br/>
        <w:t xml:space="preserve">ЗАО Агросоюз «Авида» в связи с погодными условиями зафиксирована гибель озимых культур, что в свою очередь привело к потере урожая </w:t>
      </w:r>
      <w:r>
        <w:rPr>
          <w:lang w:val="ru-RU" w:eastAsia="ru-RU"/>
        </w:rPr>
        <w:br/>
        <w:t>и ув</w:t>
      </w:r>
      <w:r>
        <w:rPr>
          <w:lang w:val="ru-RU" w:eastAsia="ru-RU"/>
        </w:rPr>
        <w:t xml:space="preserve">еличению затрат, что и повлекло за собой убытки в целом </w:t>
      </w:r>
      <w:r>
        <w:rPr>
          <w:lang w:val="ru-RU" w:eastAsia="ru-RU"/>
        </w:rPr>
        <w:br/>
        <w:t>по Обществу.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За последние годы агропромышленный комплекс района наращивает мощности, значительно улучшается материально-техническая база сельского хозяйства, повышается его производительность </w:t>
      </w:r>
      <w:r>
        <w:rPr>
          <w:lang w:val="ru-RU" w:eastAsia="ru-RU"/>
        </w:rPr>
        <w:br/>
        <w:t>и эффе</w:t>
      </w:r>
      <w:r>
        <w:rPr>
          <w:lang w:val="ru-RU" w:eastAsia="ru-RU"/>
        </w:rPr>
        <w:t xml:space="preserve">ктивность.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Ряд сельхозпредприятий района, как, например, </w:t>
      </w:r>
      <w:r>
        <w:rPr>
          <w:lang w:val="ru-RU" w:eastAsia="ru-RU"/>
        </w:rPr>
        <w:br/>
        <w:t xml:space="preserve">ООО «Бородинское», АО «Орлик», КФХ «Шанс», предприятия «Русагро», ООО Агрофирма «Горби – Инвест», КФХ «Сукмановка» и другие, </w:t>
      </w:r>
      <w:r>
        <w:rPr>
          <w:lang w:val="ru-RU" w:eastAsia="ru-RU"/>
        </w:rPr>
        <w:br/>
        <w:t xml:space="preserve">стали своеобразным брендом, визитной карточкой Чернянского района.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По </w:t>
      </w:r>
      <w:r>
        <w:rPr>
          <w:lang w:val="ru-RU" w:eastAsia="ru-RU"/>
        </w:rPr>
        <w:t xml:space="preserve">итогам 2024 года аграриями района намолочено 94,67 тыс. тонн зерна в зачетном весе  при урожайности 36,6 ц/га.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pacing w:val="-2"/>
          <w:szCs w:val="28"/>
          <w:lang w:val="ru-RU" w:eastAsia="ru-RU"/>
        </w:rPr>
      </w:pPr>
      <w:r>
        <w:rPr>
          <w:lang w:val="ru-RU" w:eastAsia="ru-RU"/>
        </w:rPr>
        <w:t>Самые высокие показатели урожайности зерновых в текущем году получены среди крупных СХП: в ООО «Агрофирма Горби-Инвест»              – 46,1 ц/га</w:t>
      </w:r>
      <w:r>
        <w:rPr>
          <w:lang w:val="ru-RU" w:eastAsia="ru-RU"/>
        </w:rPr>
        <w:t xml:space="preserve">, ЗАО «Краснояружская зерновая компания» - 44,5 ц/га, </w:t>
      </w:r>
      <w:r>
        <w:rPr>
          <w:lang w:val="ru-RU" w:eastAsia="ru-RU"/>
        </w:rPr>
        <w:br/>
        <w:t xml:space="preserve">ООО «Бородинское» - 43,8 ц/га.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С площади 6,2 тыс. га убрана сахарная свекла, полученный валовый сбор корнеплодов составил 254,9 тыс. тонн при средней урожайности </w:t>
      </w:r>
      <w:r>
        <w:rPr>
          <w:lang w:val="ru-RU" w:eastAsia="ru-RU"/>
        </w:rPr>
        <w:br/>
        <w:t>413,1 ц/га.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 w:val="20"/>
          <w:lang w:val="ru-RU" w:eastAsia="ru-RU"/>
        </w:rPr>
      </w:pPr>
      <w:r>
        <w:rPr>
          <w:lang w:val="ru-RU" w:eastAsia="ru-RU"/>
        </w:rPr>
        <w:lastRenderedPageBreak/>
        <w:t>Самая высокая урожайность</w:t>
      </w:r>
      <w:r>
        <w:rPr>
          <w:lang w:val="ru-RU" w:eastAsia="ru-RU"/>
        </w:rPr>
        <w:t xml:space="preserve"> по культуре в этом году: у ИП Овчаров Н.А. - 456,2 ц/га, в АО «Орлик» - 436 ц/га, ООО «Русагро-Инвест» </w:t>
      </w:r>
      <w:r>
        <w:rPr>
          <w:lang w:val="ru-RU" w:eastAsia="ru-RU"/>
        </w:rPr>
        <w:br/>
        <w:t xml:space="preserve">ПУ «Малотроицкий» - 424,3 ц/га.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Хозяйствами, занимающимися производством картофеля и овощей убрано: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195 га картофеля  (100% плана), накопано 7,2 тыс. тонн, урожайность составила 370,5 ц/га; овощей: убрано 932,8 га (100%), собрано </w:t>
      </w:r>
      <w:r>
        <w:rPr>
          <w:lang w:val="ru-RU" w:eastAsia="ru-RU"/>
        </w:rPr>
        <w:br/>
        <w:t>12,9 тыс. тонн, урожайность 138,2 ц/га.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lang w:val="ru-RU" w:eastAsia="ru-RU"/>
        </w:rPr>
      </w:pPr>
      <w:r>
        <w:rPr>
          <w:lang w:val="ru-RU" w:eastAsia="ru-RU"/>
        </w:rPr>
        <w:t>По состоянию на 31 декабря 2024 года поголовье крупного рогатого скота по Чернянскому</w:t>
      </w:r>
      <w:r>
        <w:rPr>
          <w:lang w:val="ru-RU" w:eastAsia="ru-RU"/>
        </w:rPr>
        <w:t xml:space="preserve"> району в сельскохозяйственных предприятиях составило 13 837 голов и увеличилось в сравнении с  прошлым годом </w:t>
      </w:r>
      <w:r>
        <w:rPr>
          <w:lang w:val="ru-RU" w:eastAsia="ru-RU"/>
        </w:rPr>
        <w:br/>
        <w:t xml:space="preserve">на 1 208 голов. Увеличили поголовье ООО МФ «Рассвет» на 1155 голов, ООО  «Бородинское» на 106 голов, АО «Орлик» на 79 голов, </w:t>
      </w:r>
      <w:r>
        <w:rPr>
          <w:lang w:val="ru-RU" w:eastAsia="ru-RU"/>
        </w:rPr>
        <w:br/>
        <w:t>ЗАО «Молоко Белогор</w:t>
      </w:r>
      <w:r>
        <w:rPr>
          <w:lang w:val="ru-RU" w:eastAsia="ru-RU"/>
        </w:rPr>
        <w:t>ья» на 26 голов. Уменьшило ООО «Рассвет-агро»</w:t>
      </w:r>
      <w:r>
        <w:rPr>
          <w:lang w:val="ru-RU" w:eastAsia="ru-RU"/>
        </w:rPr>
        <w:br/>
        <w:t xml:space="preserve">на 158 голов.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lang w:val="ru-RU" w:eastAsia="ru-RU"/>
        </w:rPr>
      </w:pPr>
      <w:r>
        <w:rPr>
          <w:lang w:val="ru-RU" w:eastAsia="ru-RU"/>
        </w:rPr>
        <w:t>Самое большое поголовье содержит АО «Орлик» - 4 219 голов. ЗАО «Молоко Белогорья» - 3 842 головы, ООО МФ  «Рассвет» - 3 180 голов.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Самое большое поголовье коров у ЗАО «Молоко Белогорья» - </w:t>
      </w:r>
      <w:r>
        <w:rPr>
          <w:lang w:val="ru-RU" w:eastAsia="ru-RU"/>
        </w:rPr>
        <w:br/>
        <w:t xml:space="preserve">3 053 </w:t>
      </w:r>
      <w:r>
        <w:rPr>
          <w:lang w:val="ru-RU" w:eastAsia="ru-RU"/>
        </w:rPr>
        <w:t xml:space="preserve">головы, АО «Орлик» - 1 200 голов, ООО «Рассвет-агро»  - </w:t>
      </w:r>
      <w:r>
        <w:rPr>
          <w:lang w:val="ru-RU" w:eastAsia="ru-RU"/>
        </w:rPr>
        <w:br/>
        <w:t>1 190 голов.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За 2024 год сельскохозяйственными предприятиями района произведено 58 471 тонна молока. В сравнении с прошлым годом производство молока увеличилось на 1 409 тонн. Увеличили производство </w:t>
      </w:r>
      <w:r>
        <w:rPr>
          <w:lang w:val="ru-RU" w:eastAsia="ru-RU"/>
        </w:rPr>
        <w:t xml:space="preserve">молока: ООО МФ «Рассвет» на 1 591 тонну, ООО «Рассвет-агро» </w:t>
      </w:r>
      <w:r>
        <w:rPr>
          <w:lang w:val="ru-RU" w:eastAsia="ru-RU"/>
        </w:rPr>
        <w:br/>
        <w:t>на 1 147 тонн , АО «Орлик» на 608 тонн, ООО «Бородинское» на 66 тонн.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В Чернянском районе на сегодняшний день развиваются 544 малых форм хозяйствования, что соответствует уровню прошлого года.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Со</w:t>
      </w:r>
      <w:r>
        <w:rPr>
          <w:lang w:val="ru-RU" w:eastAsia="ru-RU"/>
        </w:rPr>
        <w:t xml:space="preserve">гласно плана экономического развития сельских территорий </w:t>
      </w:r>
      <w:r>
        <w:rPr>
          <w:lang w:val="ru-RU" w:eastAsia="ru-RU"/>
        </w:rPr>
        <w:br/>
        <w:t xml:space="preserve">за 2024 год объем реализации сельскохозяйственной продукции, произведенной малыми формами хозяйствования, составил </w:t>
      </w:r>
      <w:r>
        <w:rPr>
          <w:lang w:val="ru-RU" w:eastAsia="ru-RU"/>
        </w:rPr>
        <w:br/>
        <w:t>934,6 млн рублей.</w:t>
      </w:r>
    </w:p>
    <w:p w:rsidR="000D61D2" w:rsidRDefault="000D61D2">
      <w:pPr>
        <w:pStyle w:val="12"/>
        <w:spacing w:line="235" w:lineRule="auto"/>
        <w:ind w:firstLine="720"/>
        <w:contextualSpacing/>
        <w:jc w:val="both"/>
        <w:rPr>
          <w:lang w:val="ru-RU" w:eastAsia="ru-RU"/>
        </w:rPr>
      </w:pPr>
    </w:p>
    <w:p w:rsidR="000D61D2" w:rsidRDefault="000D61D2">
      <w:pPr>
        <w:pStyle w:val="12"/>
        <w:spacing w:line="235" w:lineRule="auto"/>
        <w:ind w:firstLine="720"/>
        <w:contextualSpacing/>
        <w:jc w:val="both"/>
        <w:rPr>
          <w:lang w:val="ru-RU" w:eastAsia="ru-RU"/>
        </w:rPr>
      </w:pPr>
    </w:p>
    <w:p w:rsidR="000D61D2" w:rsidRDefault="000D61D2">
      <w:pPr>
        <w:pStyle w:val="12"/>
        <w:spacing w:line="235" w:lineRule="auto"/>
        <w:ind w:firstLine="720"/>
        <w:contextualSpacing/>
        <w:jc w:val="both"/>
        <w:rPr>
          <w:lang w:val="ru-RU" w:eastAsia="ru-RU"/>
        </w:rPr>
      </w:pP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lang w:val="ru-RU" w:eastAsia="ru-RU"/>
        </w:rPr>
      </w:pPr>
      <w:r>
        <w:rPr>
          <w:lang w:val="ru-RU" w:eastAsia="ru-RU"/>
        </w:rPr>
        <w:t>субсидия на реконструкцию и (или) модернизации теплиц произво</w:t>
      </w:r>
      <w:r>
        <w:rPr>
          <w:lang w:val="ru-RU" w:eastAsia="ru-RU"/>
        </w:rPr>
        <w:t>дителями овощей закрытого грунта в сумме 0,5 млн рублей;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субсидия на возмещение затрат (части затрат), понесенных в связи </w:t>
      </w:r>
      <w:r>
        <w:rPr>
          <w:lang w:val="ru-RU" w:eastAsia="ru-RU"/>
        </w:rPr>
        <w:br/>
        <w:t>с приобретением и последующим внесением в неделимый фонд сельскохозяйственной техники, специализированного автотранспорта, оборудован</w:t>
      </w:r>
      <w:r>
        <w:rPr>
          <w:lang w:val="ru-RU" w:eastAsia="ru-RU"/>
        </w:rPr>
        <w:t xml:space="preserve">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в сумме </w:t>
      </w:r>
      <w:r>
        <w:rPr>
          <w:lang w:val="ru-RU" w:eastAsia="ru-RU"/>
        </w:rPr>
        <w:br/>
        <w:t>0,4 млн рублей;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с</w:t>
      </w:r>
      <w:hyperlink r:id="rId9" w:tooltip="Субсидии (возмещение части затрат) на поддержку производства картофеля и овощей открытого грунта гражданам, ведущим личное подсобное хозяйство и применяющим специальный налоговый режим &quot;Налог на профессиональный доход&quot;" w:history="1">
        <w:r>
          <w:rPr>
            <w:lang w:val="ru-RU" w:eastAsia="ru-RU"/>
          </w:rPr>
          <w:t xml:space="preserve">убсидия (возмещение части затрат) на поддержку производства картофеля и овощей открытого и закрытого грунта гражданам, ведущим </w:t>
        </w:r>
        <w:r>
          <w:rPr>
            <w:lang w:val="ru-RU" w:eastAsia="ru-RU"/>
          </w:rPr>
          <w:lastRenderedPageBreak/>
          <w:t>личное подсобное хозяйство и применяющим специальный налоговый режим «Налог на профессиональный доход»</w:t>
        </w:r>
      </w:hyperlink>
      <w:r>
        <w:rPr>
          <w:lang w:val="ru-RU" w:eastAsia="ru-RU"/>
        </w:rPr>
        <w:t xml:space="preserve"> в сумме 3,4 млн рублей;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субсидия (возмещение части затрат) на органическое производство </w:t>
      </w:r>
      <w:r>
        <w:rPr>
          <w:lang w:val="ru-RU" w:eastAsia="ru-RU"/>
        </w:rPr>
        <w:br/>
        <w:t>в сумме 0,035 млн рублей.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          В настоящее время в рамках г</w:t>
      </w:r>
      <w:r>
        <w:rPr>
          <w:lang w:val="ru-RU" w:eastAsia="ru-RU"/>
        </w:rPr>
        <w:t xml:space="preserve">рантовой поддержки </w:t>
      </w:r>
      <w:r>
        <w:rPr>
          <w:lang w:val="ru-RU" w:eastAsia="ru-RU"/>
        </w:rPr>
        <w:br/>
        <w:t>на территории района реализуются 4 проекта: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ИП Богатырева Оксана Николаевна «Создание тепличного хозяйства по выращиванию овощей на территории Чернянского района»;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ИП Чухломин Никита Эдурдович «Выращивание земляники садовой, открытого и</w:t>
      </w:r>
      <w:r>
        <w:rPr>
          <w:lang w:val="ru-RU" w:eastAsia="ru-RU"/>
        </w:rPr>
        <w:t xml:space="preserve"> закрытого грунта в Чернянском районе»;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СССПоК «Мясные просторы» председатель Пирогов Дмитрий Сергеевич «Создание завода по производства мясных продуктов на базе СССПоК «Мясные просторы»;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lang w:val="ru-RU" w:eastAsia="ru-RU"/>
        </w:rPr>
      </w:pPr>
      <w:r>
        <w:rPr>
          <w:lang w:val="ru-RU" w:eastAsia="ru-RU"/>
        </w:rPr>
        <w:t>КФХ «Шанс» глава Пахомова Нина Афанасьевна «Строительство тепличного</w:t>
      </w:r>
      <w:r>
        <w:rPr>
          <w:lang w:val="ru-RU" w:eastAsia="ru-RU"/>
        </w:rPr>
        <w:t xml:space="preserve"> комплекса с технологическим оборудованием </w:t>
      </w:r>
      <w:r>
        <w:rPr>
          <w:lang w:val="ru-RU" w:eastAsia="ru-RU"/>
        </w:rPr>
        <w:br/>
        <w:t>по выращиванию овощей закрытого грунта на базе КФХ «Шанс»«.</w:t>
      </w:r>
    </w:p>
    <w:p w:rsidR="000D61D2" w:rsidRDefault="000D61D2">
      <w:pPr>
        <w:spacing w:after="0" w:line="235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highlight w:val="white"/>
          <w:lang w:eastAsia="ru-RU"/>
        </w:rPr>
      </w:pPr>
    </w:p>
    <w:p w:rsidR="000D61D2" w:rsidRDefault="001A00CF">
      <w:pPr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 № 6. «Доля протяженности автомобильных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дорог общего пользования местного значения, не отвечающих нормативным требованиям, в общей протяженн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ости автомобильных дорог общего пользования местного значения»</w:t>
      </w:r>
    </w:p>
    <w:p w:rsidR="000D61D2" w:rsidRDefault="000D61D2">
      <w:pPr>
        <w:spacing w:after="0" w:line="235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По состоянию на 31.12.2024 г. 24,47% автомобильных дорог общего пользования местного значения не отвечают нормативным требованиям, </w:t>
      </w:r>
      <w:r>
        <w:rPr>
          <w:lang w:val="ru-RU" w:eastAsia="ru-RU"/>
        </w:rPr>
        <w:br/>
      </w:r>
      <w:r>
        <w:rPr>
          <w:lang w:val="ru-RU" w:eastAsia="ru-RU"/>
        </w:rPr>
        <w:t xml:space="preserve">что выше целевого значения на 6,82%. В рамках реализации приоритетного проекта «Безопасные качественные дороги», на территории Чернянского района Белгородской области проведена диагностика автомобильных дорог общего пользования местного значения, в связи </w:t>
      </w:r>
      <w:r>
        <w:rPr>
          <w:lang w:val="ru-RU" w:eastAsia="ru-RU"/>
        </w:rPr>
        <w:br/>
      </w:r>
      <w:r>
        <w:rPr>
          <w:lang w:val="ru-RU" w:eastAsia="ru-RU"/>
        </w:rPr>
        <w:t>с чем и увеличена протяженность автомобильных дорог общего пользования местного значения, не отвечающих нормативным требованиям и уменьшена общая протяженность дорог общего пользования местного значения.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В 2024 году произведен дорожный ремонт на 9 объектах</w:t>
      </w:r>
      <w:r>
        <w:rPr>
          <w:lang w:val="ru-RU" w:eastAsia="ru-RU"/>
        </w:rPr>
        <w:t xml:space="preserve"> Чернянского района, общей стоимостью - 79,8 млн рублей, а именно ремонт проезжей части на ул. Ломоносова, ул. Урицкого, ул. Садовая, </w:t>
      </w:r>
      <w:r>
        <w:rPr>
          <w:lang w:val="ru-RU" w:eastAsia="ru-RU"/>
        </w:rPr>
        <w:br/>
        <w:t xml:space="preserve">ул. Крупская, ул. Комарова, ул. Гоголя, ул. Есенина, с. Новоречье, </w:t>
      </w:r>
      <w:r>
        <w:rPr>
          <w:lang w:val="ru-RU" w:eastAsia="ru-RU"/>
        </w:rPr>
        <w:br/>
        <w:t>ул. Молодежная и ул. Центральная. На территории район</w:t>
      </w:r>
      <w:r>
        <w:rPr>
          <w:lang w:val="ru-RU" w:eastAsia="ru-RU"/>
        </w:rPr>
        <w:t>а были благоустроены парковочные места, произведен ямочный ремонт, обновлена дорожная разметка и дорожные знаки, а также искусственные неровности. Устройство водоотводных лотков, строительство тротуаров, диагностика автодорог. Благоустроена набережная р. О</w:t>
      </w:r>
      <w:r>
        <w:rPr>
          <w:lang w:val="ru-RU" w:eastAsia="ru-RU"/>
        </w:rPr>
        <w:t>скол в п. Чернянка - 18,11 млн рублей.</w:t>
      </w:r>
    </w:p>
    <w:p w:rsidR="000D61D2" w:rsidRDefault="000D61D2">
      <w:pPr>
        <w:spacing w:after="0" w:line="235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highlight w:val="white"/>
          <w:lang w:eastAsia="ru-RU"/>
        </w:rPr>
      </w:pPr>
    </w:p>
    <w:p w:rsidR="000D61D2" w:rsidRDefault="001A00CF">
      <w:pPr>
        <w:pStyle w:val="12"/>
        <w:spacing w:line="235" w:lineRule="auto"/>
        <w:contextualSpacing/>
        <w:jc w:val="center"/>
        <w:rPr>
          <w:lang w:val="ru-RU"/>
        </w:rPr>
      </w:pPr>
      <w:r>
        <w:rPr>
          <w:b/>
          <w:szCs w:val="28"/>
          <w:lang w:val="ru-RU"/>
        </w:rPr>
        <w:t>Показатель № 7. «Доля населения, проживающего в населенных пунктах</w:t>
      </w:r>
      <w:r>
        <w:rPr>
          <w:b/>
          <w:szCs w:val="28"/>
          <w:lang w:val="ru-RU"/>
        </w:rPr>
        <w:t xml:space="preserve">, не имеющих регулярного автобусного и (или) железнодорожного сообщения с административным центром </w:t>
      </w:r>
      <w:r>
        <w:rPr>
          <w:b/>
          <w:szCs w:val="28"/>
          <w:lang w:val="ru-RU"/>
        </w:rPr>
        <w:lastRenderedPageBreak/>
        <w:t>муниципального образования области, в общей численности населения муниципального образования области»</w:t>
      </w:r>
    </w:p>
    <w:p w:rsidR="000D61D2" w:rsidRDefault="000D61D2">
      <w:pPr>
        <w:spacing w:after="0" w:line="235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highlight w:val="white"/>
          <w:lang w:eastAsia="ru-RU"/>
        </w:rPr>
      </w:pP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b/>
          <w:szCs w:val="28"/>
          <w:lang w:val="ru-RU" w:eastAsia="ru-RU"/>
        </w:rPr>
      </w:pPr>
      <w:r>
        <w:rPr>
          <w:lang w:val="ru-RU" w:eastAsia="ru-RU"/>
        </w:rPr>
        <w:t xml:space="preserve">Во всех населенных пунктах Чернянского района имеется </w:t>
      </w:r>
      <w:r>
        <w:rPr>
          <w:lang w:val="ru-RU" w:eastAsia="ru-RU"/>
        </w:rPr>
        <w:t xml:space="preserve">регулярное автобусное и (или) железнодорожное сообщение </w:t>
      </w:r>
      <w:r>
        <w:rPr>
          <w:lang w:val="ru-RU" w:eastAsia="ru-RU"/>
        </w:rPr>
        <w:br/>
        <w:t>с административным центром  муниципального района.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В рамках муниципальной программы «Совершенствование </w:t>
      </w:r>
      <w:r>
        <w:rPr>
          <w:lang w:val="ru-RU" w:eastAsia="ru-RU"/>
        </w:rPr>
        <w:br/>
        <w:t>и развитие транспортной системы и дорожной сети Чернянского района Белгородской области», реали</w:t>
      </w:r>
      <w:r>
        <w:rPr>
          <w:lang w:val="ru-RU" w:eastAsia="ru-RU"/>
        </w:rPr>
        <w:t xml:space="preserve">зуется подпрограмма «Совершенствование </w:t>
      </w:r>
      <w:r>
        <w:rPr>
          <w:lang w:val="ru-RU" w:eastAsia="ru-RU"/>
        </w:rPr>
        <w:br/>
        <w:t>и развитие транспортной системы Чернянского района».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lang w:val="ru-RU" w:eastAsia="ru-RU"/>
        </w:rPr>
      </w:pPr>
      <w:r>
        <w:rPr>
          <w:lang w:val="ru-RU" w:eastAsia="ru-RU"/>
        </w:rPr>
        <w:t>Тенденции к снижению значения показателя нет.</w:t>
      </w:r>
    </w:p>
    <w:p w:rsidR="000D61D2" w:rsidRDefault="000D61D2">
      <w:pPr>
        <w:spacing w:after="0" w:line="235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pStyle w:val="12"/>
        <w:spacing w:line="235" w:lineRule="auto"/>
        <w:ind w:firstLine="720"/>
        <w:contextualSpacing/>
        <w:jc w:val="center"/>
        <w:rPr>
          <w:b/>
          <w:bCs/>
          <w:szCs w:val="28"/>
          <w:lang w:val="ru-RU"/>
        </w:rPr>
      </w:pPr>
      <w:r>
        <w:rPr>
          <w:b/>
          <w:szCs w:val="28"/>
          <w:lang w:val="ru-RU"/>
        </w:rPr>
        <w:t xml:space="preserve">Показатель № 8. </w:t>
      </w:r>
      <w:r>
        <w:rPr>
          <w:b/>
          <w:bCs/>
          <w:szCs w:val="28"/>
          <w:lang w:val="ru-RU"/>
        </w:rPr>
        <w:t>«Среднемесячная</w:t>
      </w:r>
      <w:r>
        <w:rPr>
          <w:b/>
          <w:bCs/>
          <w:szCs w:val="28"/>
          <w:lang w:val="ru-RU"/>
        </w:rPr>
        <w:br/>
        <w:t>номинальная начисленная заработная плата»</w:t>
      </w:r>
    </w:p>
    <w:p w:rsidR="000D61D2" w:rsidRDefault="000D61D2">
      <w:pPr>
        <w:spacing w:after="0" w:line="235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По данным Росстата, по итогам 2024 года с</w:t>
      </w:r>
      <w:r>
        <w:rPr>
          <w:lang w:val="ru-RU" w:eastAsia="ru-RU"/>
        </w:rPr>
        <w:t xml:space="preserve">реднемесячная заработная плата работника за 2024 год составила 57 050,9 руб. и выросла к уровню аналогичного периода прошлого года на 16,8%.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По основным видам экономической деятельности среднемесячная заработная плата за 2024 год по сравнению с 2023 годом</w:t>
      </w:r>
      <w:r>
        <w:rPr>
          <w:lang w:val="ru-RU" w:eastAsia="ru-RU"/>
        </w:rPr>
        <w:t xml:space="preserve"> распределилась таким образом: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сельское хозяйство - 82 603,7 руб. с ростом 21%;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обрабатывающие производства - 64 698,3 с ростом 20,3%;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торговля оптовая и розничная - 45 947,3 руб. с ростом 21,9%;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транспортировка и хранение - 35 351,6 руб. с ростом 16,8%;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д</w:t>
      </w:r>
      <w:r>
        <w:rPr>
          <w:lang w:val="ru-RU" w:eastAsia="ru-RU"/>
        </w:rPr>
        <w:t>еятельность финансовая и страховая - 59 904,1 руб. с ростом 19,2%;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государственное управление и обеспечение военной безопасности; социальное обеспечение  - 58 167,2 руб. с ростом 14,2%;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образование - 42 113,9 руб. с ростом 12,6%;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деятельность в области здр</w:t>
      </w:r>
      <w:r>
        <w:rPr>
          <w:lang w:val="ru-RU" w:eastAsia="ru-RU"/>
        </w:rPr>
        <w:t>авоохранения и социальных услуг -                              44 998,5 руб. с ростом 8,7%;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деятельность в области культуры, спорта, организации досуга и развлечений -42 507,0 руб. с ростом 19,5%;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деятельность гостиниц и предприятий общественного питания  </w:t>
      </w:r>
      <w:r>
        <w:rPr>
          <w:lang w:val="ru-RU" w:eastAsia="ru-RU"/>
        </w:rPr>
        <w:t xml:space="preserve">                41 898,0 руб. с ростом 5%;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Качество жизни, в первую очередь, зависит от доходов населения, где определяющим фактором является заработная плата и социальные выплаты.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Во исполнение Указа Президента Российской Федерации от 7 мая </w:t>
      </w:r>
      <w:r>
        <w:rPr>
          <w:lang w:val="ru-RU" w:eastAsia="ru-RU"/>
        </w:rPr>
        <w:br/>
      </w:r>
      <w:r>
        <w:rPr>
          <w:lang w:val="ru-RU" w:eastAsia="ru-RU"/>
        </w:rPr>
        <w:t>2012 г. № 597 «О мероприятиях по реализации государственной социальной политики», администрацией района принимаются необходимые меры по обеспечению роста заработной платы, на контроль поставлены вопросы по недопущению фактов задолженности по ее выплате и п</w:t>
      </w:r>
      <w:r>
        <w:rPr>
          <w:lang w:val="ru-RU" w:eastAsia="ru-RU"/>
        </w:rPr>
        <w:t>олноты  перечисления обязательных  платежей от фонда оплаты  труда.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b/>
          <w:szCs w:val="28"/>
          <w:lang w:val="ru-RU" w:eastAsia="ru-RU"/>
        </w:rPr>
      </w:pPr>
      <w:r>
        <w:rPr>
          <w:lang w:val="ru-RU" w:eastAsia="ru-RU"/>
        </w:rPr>
        <w:lastRenderedPageBreak/>
        <w:t>Работа по обеспечению роста заработной платы в плановом периоде продолжится.</w:t>
      </w:r>
    </w:p>
    <w:p w:rsidR="000D61D2" w:rsidRDefault="000D61D2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</w:p>
    <w:p w:rsidR="000D61D2" w:rsidRDefault="001A00CF">
      <w:pPr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 Анализ сферы</w:t>
      </w:r>
    </w:p>
    <w:p w:rsidR="000D61D2" w:rsidRDefault="001A00CF">
      <w:pPr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Дошкольное образование»</w:t>
      </w:r>
    </w:p>
    <w:p w:rsidR="000D61D2" w:rsidRDefault="000D61D2">
      <w:pPr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В Чернянском районе по состоянию на 31.12.2023 работает </w:t>
      </w:r>
      <w:r>
        <w:rPr>
          <w:lang w:val="ru-RU" w:eastAsia="ru-RU"/>
        </w:rPr>
        <w:br/>
        <w:t>26 дошкол</w:t>
      </w:r>
      <w:r>
        <w:rPr>
          <w:lang w:val="ru-RU" w:eastAsia="ru-RU"/>
        </w:rPr>
        <w:t xml:space="preserve">ьных образовательных учреждений, в которых образовательную услугу получают 1210 ребенка.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В  соответствии с Федеральным Законом «Об образовании </w:t>
      </w:r>
      <w:r>
        <w:rPr>
          <w:lang w:val="ru-RU" w:eastAsia="ru-RU"/>
        </w:rPr>
        <w:br/>
        <w:t>в Российской Федерации», Программой Белгородской области «Развитие образования Белгородской области», Стратегие</w:t>
      </w:r>
      <w:r>
        <w:rPr>
          <w:lang w:val="ru-RU" w:eastAsia="ru-RU"/>
        </w:rPr>
        <w:t xml:space="preserve">й развития дошкольного, общего </w:t>
      </w:r>
      <w:r>
        <w:rPr>
          <w:lang w:val="ru-RU" w:eastAsia="ru-RU"/>
        </w:rPr>
        <w:br/>
        <w:t>и дополнительного образования Белгородской области, подпрограммой «Развитие дошкольного образования» районной муниципальной программы  «Развитие образования Чернянского района Белгородской области», проводится работа, направ</w:t>
      </w:r>
      <w:r>
        <w:rPr>
          <w:lang w:val="ru-RU" w:eastAsia="ru-RU"/>
        </w:rPr>
        <w:t>ленная на повышение качества предоставления услуги по дошкольному образованию района.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В рамках региональной стратегии «Социально  экономическое развитие Белгородской области» в районе реализуются проекты: «Формирование финансовой грамотности  дошкольников </w:t>
      </w:r>
      <w:r>
        <w:rPr>
          <w:lang w:val="ru-RU" w:eastAsia="ru-RU"/>
        </w:rPr>
        <w:br/>
        <w:t>в образовательных организациях Чернянского района («Академия финансов»), «Внедрение модели формирования основ ранней профориентации детей дошкольного возраста в дошкольных образовательных организациях «Чернянского района» (Первые шаги в мир профессий»).</w:t>
      </w:r>
    </w:p>
    <w:p w:rsidR="000D61D2" w:rsidRDefault="000D61D2">
      <w:pPr>
        <w:pStyle w:val="12"/>
        <w:spacing w:line="235" w:lineRule="auto"/>
        <w:ind w:left="992"/>
        <w:contextualSpacing/>
        <w:jc w:val="both"/>
        <w:rPr>
          <w:lang w:val="ru-RU"/>
        </w:rPr>
      </w:pPr>
    </w:p>
    <w:p w:rsidR="000D61D2" w:rsidRDefault="001A00CF">
      <w:pPr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Показатель №9.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Доля детей в возрасте 1-6 лет, получающих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дошкольную образовательную услугу и (или) услугу по их содержанию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в муниципальных образовательных организациях, в общей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численности детей в возрасте 1-6 лет»</w:t>
      </w:r>
    </w:p>
    <w:p w:rsidR="000D61D2" w:rsidRDefault="000D61D2">
      <w:pPr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Показатель выше целевого значения на </w:t>
      </w:r>
      <w:r>
        <w:rPr>
          <w:lang w:val="ru-RU" w:eastAsia="ru-RU"/>
        </w:rPr>
        <w:t xml:space="preserve">3,72%. Всего на территории района 1646 детей в возрасте от 1 до 6 лет,  услуги по дошкольному образованию получают 1164 ребенка, оставшаяся часть детей находится </w:t>
      </w:r>
      <w:r>
        <w:rPr>
          <w:lang w:val="ru-RU" w:eastAsia="ru-RU"/>
        </w:rPr>
        <w:br/>
        <w:t xml:space="preserve">на семейном воспитании.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Дошкольное образование в районе доступно, образовательную услугу по </w:t>
      </w:r>
      <w:r>
        <w:rPr>
          <w:lang w:val="ru-RU" w:eastAsia="ru-RU"/>
        </w:rPr>
        <w:t>содержанию детей в муниципальных образовательных организациях получают все желающие.</w:t>
      </w:r>
    </w:p>
    <w:p w:rsidR="000D61D2" w:rsidRDefault="001A00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Cs w:val="28"/>
        </w:rPr>
        <w:br w:type="page" w:clear="all"/>
      </w:r>
    </w:p>
    <w:p w:rsidR="000D61D2" w:rsidRDefault="001A00CF">
      <w:pPr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Показатель №10. «Доля детей в возрасте 1-6 лет, состоящих на учете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для определения в муниципальные дошкольные образовательные организации, в общей численности детей в возрасте от 1 -6 лет»</w:t>
      </w:r>
    </w:p>
    <w:p w:rsidR="000D61D2" w:rsidRDefault="000D61D2">
      <w:pPr>
        <w:spacing w:after="0" w:line="235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Очередности в детские сады района по состоянию на 01.01.2025 года  нет. Возникновение очередности в плановом периоде не прогнозируетс</w:t>
      </w:r>
      <w:r>
        <w:rPr>
          <w:lang w:val="ru-RU" w:eastAsia="ru-RU"/>
        </w:rPr>
        <w:t>я.</w:t>
      </w:r>
    </w:p>
    <w:p w:rsidR="000D61D2" w:rsidRDefault="000D61D2">
      <w:pPr>
        <w:spacing w:after="0" w:line="235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pStyle w:val="12"/>
        <w:spacing w:line="235" w:lineRule="auto"/>
        <w:contextualSpacing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Показатель №11. «Доля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организаций»</w:t>
      </w:r>
    </w:p>
    <w:p w:rsidR="000D61D2" w:rsidRDefault="000D61D2">
      <w:pPr>
        <w:pStyle w:val="12"/>
        <w:spacing w:line="235" w:lineRule="auto"/>
        <w:ind w:firstLine="720"/>
        <w:contextualSpacing/>
        <w:jc w:val="both"/>
        <w:rPr>
          <w:lang w:val="ru-RU" w:eastAsia="ru-RU"/>
        </w:rPr>
      </w:pP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lang w:val="ru-RU"/>
        </w:rPr>
      </w:pPr>
      <w:r>
        <w:rPr>
          <w:lang w:val="ru-RU" w:eastAsia="ru-RU"/>
        </w:rPr>
        <w:t xml:space="preserve">В 2024 году проведение капитального ремонта детских садов не было предусмотрено, в 2025 году запланирован капитальный ремонт МБДОУ «Сказка» с.Ездочное и МАДОУ «Солнышко» п.Чернянка, </w:t>
      </w:r>
      <w:r>
        <w:rPr>
          <w:lang w:val="ru-RU" w:eastAsia="ru-RU"/>
        </w:rPr>
        <w:br/>
        <w:t>в 2026 году планируется капитальный ремонт МБДОУ «Свелячок» п.Чернянка.</w:t>
      </w:r>
    </w:p>
    <w:p w:rsidR="000D61D2" w:rsidRDefault="000D61D2">
      <w:pPr>
        <w:spacing w:after="0" w:line="235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61D2" w:rsidRDefault="001A00CF">
      <w:pPr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3.3. Анализ сферы</w:t>
      </w:r>
    </w:p>
    <w:p w:rsidR="000D61D2" w:rsidRDefault="001A00CF">
      <w:pPr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Общее и дополнительное образование»</w:t>
      </w:r>
    </w:p>
    <w:p w:rsidR="000D61D2" w:rsidRDefault="000D61D2">
      <w:pPr>
        <w:spacing w:after="0" w:line="235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В соответствии с Федеральным Законом «Об образовании </w:t>
      </w:r>
      <w:r>
        <w:rPr>
          <w:lang w:val="ru-RU" w:eastAsia="ru-RU"/>
        </w:rPr>
        <w:br/>
        <w:t>в Российской Федерации», Программой Белгородской области «Развитие образования Белгородской области», Стратегией развития дошкольного, общего и до</w:t>
      </w:r>
      <w:r>
        <w:rPr>
          <w:lang w:val="ru-RU" w:eastAsia="ru-RU"/>
        </w:rPr>
        <w:t>полнительного образования Белгородской области, районной муниципальной программой  «Развитие образования Чернянского района Белгородской области», основными приоритетами в сфере образования района являются: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- повышение доступности качественного социально-о</w:t>
      </w:r>
      <w:r>
        <w:rPr>
          <w:lang w:val="ru-RU" w:eastAsia="ru-RU"/>
        </w:rPr>
        <w:t>риентированного и предметно-практического образования, соответствующего требованиям инновационного развития экономики страны, современным требованиям общества;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- формирование высоконравственной, образованной личности, обладающей базовыми компетенциями совр</w:t>
      </w:r>
      <w:r>
        <w:rPr>
          <w:lang w:val="ru-RU" w:eastAsia="ru-RU"/>
        </w:rPr>
        <w:t>еменного человека;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- сохранение и развитие образовательного комплекса района, отвечающего современным требованиям;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- формирование в образовательных учреждениях доброжелательной системы взаимоотношений.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Управление образования администрации Чернянского района </w:t>
      </w:r>
      <w:r>
        <w:rPr>
          <w:lang w:val="ru-RU" w:eastAsia="ru-RU"/>
        </w:rPr>
        <w:br/>
        <w:t>в 2024 году выстраивало свою работу в рамках национальных проектов «Образование», «Демография» в соответствии с целью и задачами нормативных правовых документов, определяющих перспективное развитие о</w:t>
      </w:r>
      <w:r>
        <w:rPr>
          <w:lang w:val="ru-RU" w:eastAsia="ru-RU"/>
        </w:rPr>
        <w:t>трасли «Образование»: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- Стратегия социально-экономического развития Чернянского района,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lastRenderedPageBreak/>
        <w:t xml:space="preserve">- муниципальная Программа развития образования Чернянского района.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bCs/>
          <w:szCs w:val="28"/>
          <w:lang w:val="ru-RU" w:eastAsia="ru-RU"/>
        </w:rPr>
      </w:pPr>
      <w:r>
        <w:rPr>
          <w:lang w:val="ru-RU" w:eastAsia="ru-RU"/>
        </w:rPr>
        <w:t>Инициировано и успешно реализовано в 2024 году 2 муниципальных проекта (1 социальный и 1 бережливый</w:t>
      </w:r>
      <w:r>
        <w:rPr>
          <w:lang w:val="ru-RU" w:eastAsia="ru-RU"/>
        </w:rPr>
        <w:t>):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bCs/>
          <w:szCs w:val="28"/>
          <w:lang w:val="ru-RU" w:eastAsia="ru-RU"/>
        </w:rPr>
      </w:pPr>
      <w:r>
        <w:rPr>
          <w:lang w:val="ru-RU" w:eastAsia="ru-RU"/>
        </w:rPr>
        <w:t>«Внедрение модели формирования основ ранней профориентации детей дошкольного возраста в дошкольных образовательных организациях Чернянского района» («Первые шаги в мир профессий»);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«Оптимизация процесса сбора и подготовки документации для участия обучаю</w:t>
      </w:r>
      <w:r>
        <w:rPr>
          <w:lang w:val="ru-RU" w:eastAsia="ru-RU"/>
        </w:rPr>
        <w:t>щихся Чернянского района в конкурсах различного уровня».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shd w:val="clear" w:color="auto" w:fill="FFFFFF"/>
          <w:lang w:val="ru-RU" w:eastAsia="ru-RU"/>
        </w:rPr>
      </w:pPr>
      <w:r>
        <w:rPr>
          <w:lang w:val="ru-RU" w:eastAsia="ru-RU"/>
        </w:rPr>
        <w:t xml:space="preserve">152 обучающихся – призеры регионального этапа (Бессарабов Дмитрий, МБОУ «СОШ с. Ездочное» п. Чернянка, 11 класс и Разиньков Данил, МБОУ «СОШ № 2 п. Чернянка», 9 класс).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shd w:val="clear" w:color="auto" w:fill="FFFFFF"/>
          <w:lang w:val="ru-RU" w:eastAsia="ru-RU"/>
        </w:rPr>
      </w:pPr>
      <w:r>
        <w:rPr>
          <w:lang w:val="ru-RU" w:eastAsia="ru-RU"/>
        </w:rPr>
        <w:t xml:space="preserve"> 26 обучающихся общеобразоват</w:t>
      </w:r>
      <w:r>
        <w:rPr>
          <w:lang w:val="ru-RU" w:eastAsia="ru-RU"/>
        </w:rPr>
        <w:t xml:space="preserve">ельных организаций района получили  медали «За особые успехи в учении» I и II степени (золото </w:t>
      </w:r>
      <w:r>
        <w:rPr>
          <w:lang w:val="ru-RU" w:eastAsia="ru-RU"/>
        </w:rPr>
        <w:br/>
        <w:t xml:space="preserve">и серебро) и аттестаты с отличием.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1"/>
          <w:shd w:val="clear" w:color="auto" w:fill="FFFFFF"/>
          <w:lang w:val="ru-RU" w:eastAsia="ru-RU"/>
        </w:rPr>
      </w:pPr>
      <w:r>
        <w:rPr>
          <w:lang w:val="ru-RU" w:eastAsia="ru-RU"/>
        </w:rPr>
        <w:t xml:space="preserve">Сидоров Иван и Ремизова Екатерина, обучающиеся МБОУ </w:t>
      </w:r>
      <w:r>
        <w:rPr>
          <w:lang w:val="ru-RU" w:eastAsia="ru-RU"/>
        </w:rPr>
        <w:br/>
        <w:t>«СОШ №2 п. Чернянка» - победители Всероссийского детско-юношеского фести</w:t>
      </w:r>
      <w:r>
        <w:rPr>
          <w:lang w:val="ru-RU" w:eastAsia="ru-RU"/>
        </w:rPr>
        <w:t>валя «Ворошиловский стрелок».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shd w:val="clear" w:color="auto" w:fill="FFFFFF"/>
          <w:lang w:val="ru-RU" w:eastAsia="ru-RU"/>
        </w:rPr>
      </w:pPr>
      <w:r>
        <w:rPr>
          <w:lang w:val="ru-RU" w:eastAsia="ru-RU"/>
        </w:rPr>
        <w:t>Лукьянова Василиса, обучающаяся МБОУ «ЧСОШ №2 с УИОП» - победитель XXXIII  этапа Всероссийского детского научно-исследовательского конкурса «Первые шаги в науке». 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Призерами  конкурса в номинации «Пишем историю Белгородчины» п</w:t>
      </w:r>
      <w:r>
        <w:rPr>
          <w:lang w:val="ru-RU" w:eastAsia="ru-RU"/>
        </w:rPr>
        <w:t xml:space="preserve">ризнаны: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в возрастной категории 13-15 лет обучающаяся МБОУ «СОШ                      с. Русская Халань» Сбитнева Татьяна, представившая работу  «Воинский труд и путь моих предков во  имя спокойствия  и мира на Белгородчине»;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в возрастной категории 16-18 </w:t>
      </w:r>
      <w:r>
        <w:rPr>
          <w:lang w:val="ru-RU" w:eastAsia="ru-RU"/>
        </w:rPr>
        <w:t>лет  обучающаяся МБОУ «СОШ                            с. Орлик» Лебединская Алина, представившая на конкурс работу «Роль генерального директора  АО «Орлик» Чернянского района Овчарова  Анатолия Николаевича в развитии сельского хозяйства Белгородской област</w:t>
      </w:r>
      <w:r>
        <w:rPr>
          <w:lang w:val="ru-RU" w:eastAsia="ru-RU"/>
        </w:rPr>
        <w:t>и».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shd w:val="clear" w:color="auto" w:fill="FFFFFF"/>
          <w:lang w:val="ru-RU" w:eastAsia="ru-RU"/>
        </w:rPr>
      </w:pPr>
      <w:r>
        <w:rPr>
          <w:lang w:val="ru-RU" w:eastAsia="ru-RU"/>
        </w:rPr>
        <w:t xml:space="preserve">В номинации «Лучшая дошкольная образовательная  организация </w:t>
      </w:r>
      <w:r>
        <w:rPr>
          <w:lang w:val="ru-RU" w:eastAsia="ru-RU"/>
        </w:rPr>
        <w:br/>
        <w:t>по формированию системы духовно-нравственного воспитания» призовое второе место занял   МАДОУ «Центр развития ребенка – детский сад «Солнышко» п. Чернянка (авторский коллектив: Алхасова Елена</w:t>
      </w:r>
      <w:r>
        <w:rPr>
          <w:lang w:val="ru-RU" w:eastAsia="ru-RU"/>
        </w:rPr>
        <w:t xml:space="preserve"> Андреевна, Коваленко Надежда Евгеньевна).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Победителем в секции «Гуманитарная» регионального симпозиума «Мои исследования родному краю» стала  обучающаяся МБОУ «СОШ </w:t>
      </w:r>
      <w:r>
        <w:rPr>
          <w:lang w:val="ru-RU" w:eastAsia="ru-RU"/>
        </w:rPr>
        <w:br/>
        <w:t>с. Орлик» Фролова Александра (наставник Васютина Г.В.), представившая работу «Установление</w:t>
      </w:r>
      <w:r>
        <w:rPr>
          <w:lang w:val="ru-RU" w:eastAsia="ru-RU"/>
        </w:rPr>
        <w:t xml:space="preserve"> места гибели и захоронения Горбачева Михаила Прокопьевича». Призером III степени  в секции социально-экономическая признана обучающаяся МБОУ «СОШ с. Ездочное» Мищенко Алена (наставник Дюльдева А.Е.),  представившая  работу «Акции и  скидки на товары. Выго</w:t>
      </w:r>
      <w:r>
        <w:rPr>
          <w:lang w:val="ru-RU" w:eastAsia="ru-RU"/>
        </w:rPr>
        <w:t>дны ли они покупателям».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lang w:val="ru-RU" w:eastAsia="ru-RU"/>
        </w:rPr>
      </w:pPr>
      <w:r>
        <w:rPr>
          <w:lang w:val="ru-RU" w:eastAsia="ru-RU"/>
        </w:rPr>
        <w:lastRenderedPageBreak/>
        <w:t>5 педагогов Чернянского района стали обладателями премии «Учитель Поколения» (фонд «Поколения» Скоч А.В.) Редченко С.В. - учитель МБОУ «СОШ №2 п. Чернянка», Селегень М.В. - учитель МБОУ «СОШ с. Волоконовка», Васютина Г.В</w:t>
      </w:r>
      <w:r>
        <w:rPr>
          <w:lang w:val="ru-RU" w:eastAsia="ru-RU"/>
        </w:rPr>
        <w:t xml:space="preserve">. - учитель МБОУ «СОШ с. Орлик», Шапорова Г.Ф. - учитель МБОУ «ЧСОШ №1 с УИОП», Тульская М.В. - учитель ОГБОУ «Чернянская СОШ №4».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В период оздоровительной компании приняли участие 3 178 детей, финансирование которой из местного бюджета составило </w:t>
      </w:r>
      <w:r>
        <w:rPr>
          <w:lang w:val="ru-RU" w:eastAsia="ru-RU"/>
        </w:rPr>
        <w:br/>
        <w:t>3 028,3</w:t>
      </w:r>
      <w:r>
        <w:rPr>
          <w:lang w:val="ru-RU" w:eastAsia="ru-RU"/>
        </w:rPr>
        <w:t xml:space="preserve"> тыс. рублей и 608,1 тыс. рублей – из областного бюджета.</w:t>
      </w:r>
    </w:p>
    <w:p w:rsidR="000D61D2" w:rsidRDefault="000D61D2">
      <w:pPr>
        <w:spacing w:after="0" w:line="235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pStyle w:val="afd"/>
        <w:spacing w:before="0" w:beforeAutospacing="0" w:after="0" w:afterAutospacing="0" w:line="235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Показатель №12. «Доля выпускников муниципальных общеобразовательных организаций, не получивших аттестат </w:t>
      </w:r>
      <w:r>
        <w:rPr>
          <w:b/>
          <w:sz w:val="28"/>
          <w:szCs w:val="28"/>
        </w:rPr>
        <w:br/>
        <w:t xml:space="preserve">о среднем (полном) образовании, в общей численности </w:t>
      </w:r>
    </w:p>
    <w:p w:rsidR="000D61D2" w:rsidRDefault="001A00CF">
      <w:pPr>
        <w:pStyle w:val="afd"/>
        <w:spacing w:before="0" w:beforeAutospacing="0" w:after="0" w:afterAutospacing="0" w:line="235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выпускников муниципальных общеобразоват</w:t>
      </w:r>
      <w:r>
        <w:rPr>
          <w:b/>
          <w:sz w:val="28"/>
          <w:szCs w:val="28"/>
        </w:rPr>
        <w:t>ельных организаций»</w:t>
      </w:r>
    </w:p>
    <w:p w:rsidR="000D61D2" w:rsidRDefault="000D61D2">
      <w:pPr>
        <w:spacing w:after="0" w:line="235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lang w:val="ru-RU" w:eastAsia="ru-RU"/>
        </w:rPr>
      </w:pPr>
      <w:r>
        <w:rPr>
          <w:lang w:val="ru-RU" w:eastAsia="ru-RU"/>
        </w:rPr>
        <w:t>Целевой показатель не достигнут. 1 выпускник не получили аттестат о среднем (полном) образовании по причине болезни.</w:t>
      </w:r>
    </w:p>
    <w:p w:rsidR="000D61D2" w:rsidRDefault="000D61D2">
      <w:pPr>
        <w:pStyle w:val="14"/>
        <w:shd w:val="clear" w:color="auto" w:fill="FFFFFF"/>
        <w:spacing w:before="0" w:beforeAutospacing="0" w:after="0" w:afterAutospacing="0" w:line="235" w:lineRule="auto"/>
        <w:ind w:firstLine="708"/>
        <w:contextualSpacing/>
        <w:jc w:val="both"/>
        <w:rPr>
          <w:sz w:val="28"/>
          <w:szCs w:val="28"/>
        </w:rPr>
      </w:pPr>
    </w:p>
    <w:p w:rsidR="000D61D2" w:rsidRDefault="001A00CF">
      <w:pPr>
        <w:spacing w:after="0" w:line="235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Показатель №13.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оля муниципальных общеобразовательных организаций, соответствующих современным требованиям </w:t>
      </w:r>
    </w:p>
    <w:p w:rsidR="000D61D2" w:rsidRDefault="001A00CF">
      <w:pPr>
        <w:spacing w:after="0" w:line="235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обучения, в общем количестве муниципальных общеобразовательных организаций»</w:t>
      </w:r>
    </w:p>
    <w:p w:rsidR="000D61D2" w:rsidRDefault="000D61D2">
      <w:pPr>
        <w:spacing w:after="0" w:line="235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lang w:val="ru-RU" w:eastAsia="ru-RU"/>
        </w:rPr>
      </w:pPr>
      <w:r>
        <w:rPr>
          <w:lang w:val="ru-RU" w:eastAsia="ru-RU"/>
        </w:rPr>
        <w:t>Все общеобразовательные учреждения соответствуют современным требованиям обучения.</w:t>
      </w:r>
    </w:p>
    <w:p w:rsidR="000D61D2" w:rsidRDefault="000D61D2">
      <w:pPr>
        <w:spacing w:after="0" w:line="235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D61D2" w:rsidRDefault="001A00CF">
      <w:pPr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Показатель №14.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«Доля муниципальных общеобразовательных организаций, здания которых находятся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аварийном состоянии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или требуют капитального ремонта, в общем количестве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муниципальных общеобразовательных организаций»</w:t>
      </w:r>
    </w:p>
    <w:p w:rsidR="000D61D2" w:rsidRDefault="000D61D2">
      <w:pPr>
        <w:spacing w:after="0" w:line="235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Значение показателя в 2024 г. составило 10,53 %. В плановом периоде 2025-2027 гг. планируется капитальный ремонт в школе </w:t>
      </w:r>
      <w:r>
        <w:rPr>
          <w:lang w:val="ru-RU" w:eastAsia="ru-RU"/>
        </w:rPr>
        <w:br/>
        <w:t>с. Волково</w:t>
      </w:r>
      <w:r>
        <w:rPr>
          <w:lang w:val="ru-RU" w:eastAsia="ru-RU"/>
        </w:rPr>
        <w:t xml:space="preserve"> и школа № 3 п. Чернянка.</w:t>
      </w:r>
    </w:p>
    <w:p w:rsidR="000D61D2" w:rsidRDefault="000D61D2">
      <w:pPr>
        <w:spacing w:after="0" w:line="235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D61D2" w:rsidRDefault="001A00CF">
      <w:pPr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Показатель №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«Доля детей первой и второй групп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здоровья в общей численности обучающихся в муниципальных общеобразовательных организациях»</w:t>
      </w:r>
    </w:p>
    <w:p w:rsidR="000D61D2" w:rsidRDefault="000D61D2">
      <w:pPr>
        <w:spacing w:after="0" w:line="235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В 2024 году значение показателя составило 89,43%, что ниже  целевого показателя на 0,6%. Снижение  показателя произошло за счет улучшения качества проводимых медицинских осмотров (увеличен </w:t>
      </w:r>
      <w:r>
        <w:rPr>
          <w:lang w:val="ru-RU" w:eastAsia="ru-RU"/>
        </w:rPr>
        <w:br/>
        <w:t>проф. состав медицинских сотрудников), что дало своевременную диаг</w:t>
      </w:r>
      <w:r>
        <w:rPr>
          <w:lang w:val="ru-RU" w:eastAsia="ru-RU"/>
        </w:rPr>
        <w:t xml:space="preserve">ностику и раннее выявление заболевания. Для оздоровления </w:t>
      </w:r>
      <w:r>
        <w:rPr>
          <w:lang w:val="ru-RU" w:eastAsia="ru-RU"/>
        </w:rPr>
        <w:br/>
        <w:t xml:space="preserve">дети направлены в областные санатории. </w:t>
      </w:r>
    </w:p>
    <w:p w:rsidR="000D61D2" w:rsidRDefault="001A00CF">
      <w:pPr>
        <w:pStyle w:val="12"/>
        <w:spacing w:line="24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lastRenderedPageBreak/>
        <w:t>Реализуются муниципальные проекты, направленные на укрепление здоровья детей, их физическое развитие, формирование здорового образа жизни.</w:t>
      </w:r>
    </w:p>
    <w:p w:rsidR="000D61D2" w:rsidRDefault="001A00CF">
      <w:pPr>
        <w:pStyle w:val="12"/>
        <w:spacing w:line="245" w:lineRule="auto"/>
        <w:ind w:firstLine="720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В плановом периоде </w:t>
      </w:r>
      <w:r>
        <w:rPr>
          <w:lang w:val="ru-RU" w:eastAsia="ru-RU"/>
        </w:rPr>
        <w:t>прогнозируется постепенное увеличение показателя за счёт реализации мероприятий, направленных на пропаганду здорового образа жизни.</w:t>
      </w:r>
    </w:p>
    <w:p w:rsidR="000D61D2" w:rsidRDefault="001A00CF">
      <w:pPr>
        <w:pStyle w:val="12"/>
        <w:spacing w:line="245" w:lineRule="auto"/>
        <w:ind w:firstLine="720"/>
        <w:contextualSpacing/>
        <w:jc w:val="both"/>
        <w:rPr>
          <w:lang w:val="ru-RU" w:eastAsia="ru-RU"/>
        </w:rPr>
      </w:pPr>
      <w:r>
        <w:rPr>
          <w:lang w:val="ru-RU" w:eastAsia="ru-RU"/>
        </w:rPr>
        <w:t>Важным условием сохранения здоровья детей является качественная организация питания. Систематически ведется работа по улучше</w:t>
      </w:r>
      <w:r>
        <w:rPr>
          <w:lang w:val="ru-RU" w:eastAsia="ru-RU"/>
        </w:rPr>
        <w:t xml:space="preserve">нию качества школьного питания. Горячим питанием охвачено 100% детей района. На реализацию программы бесплатного здорового горячего питания для обучающихся из федерального бюджета выделено </w:t>
      </w:r>
      <w:r>
        <w:rPr>
          <w:lang w:val="ru-RU" w:eastAsia="ru-RU"/>
        </w:rPr>
        <w:br/>
        <w:t>9 480,7 тыс. рублей, софинансирование из муниципального бюджета со</w:t>
      </w:r>
      <w:r>
        <w:rPr>
          <w:lang w:val="ru-RU" w:eastAsia="ru-RU"/>
        </w:rPr>
        <w:t xml:space="preserve">ставило 2 993,9 тыс. рублей. На питание детей из многодетных семей </w:t>
      </w:r>
      <w:r>
        <w:rPr>
          <w:lang w:val="ru-RU" w:eastAsia="ru-RU"/>
        </w:rPr>
        <w:br/>
        <w:t>из областных средств выделено 12 095,8  тыс. рублей.  Компенсация части родительской платы за содержание детей в ДОУ за 2024 года составила</w:t>
      </w:r>
      <w:r>
        <w:rPr>
          <w:lang w:val="ru-RU" w:eastAsia="ru-RU"/>
        </w:rPr>
        <w:br/>
        <w:t>6 055 тыс. рублей.</w:t>
      </w:r>
    </w:p>
    <w:p w:rsidR="000D61D2" w:rsidRDefault="000D61D2">
      <w:pPr>
        <w:pStyle w:val="12"/>
        <w:spacing w:line="245" w:lineRule="auto"/>
        <w:ind w:firstLine="720"/>
        <w:contextualSpacing/>
        <w:jc w:val="both"/>
        <w:rPr>
          <w:lang w:val="ru-RU"/>
        </w:rPr>
      </w:pPr>
    </w:p>
    <w:p w:rsidR="000D61D2" w:rsidRDefault="001A00CF">
      <w:pPr>
        <w:spacing w:after="0" w:line="245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Показатель №16.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организациях»</w:t>
      </w:r>
    </w:p>
    <w:p w:rsidR="000D61D2" w:rsidRDefault="000D61D2">
      <w:pPr>
        <w:pStyle w:val="12"/>
        <w:spacing w:line="245" w:lineRule="auto"/>
        <w:ind w:firstLine="720"/>
        <w:contextualSpacing/>
        <w:jc w:val="both"/>
        <w:rPr>
          <w:szCs w:val="28"/>
          <w:lang w:val="ru-RU" w:eastAsia="ru-RU"/>
        </w:rPr>
      </w:pPr>
    </w:p>
    <w:p w:rsidR="000D61D2" w:rsidRDefault="001A00CF">
      <w:pPr>
        <w:pStyle w:val="12"/>
        <w:spacing w:line="24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В районе нет муниципальных общеобразовательных организаций, </w:t>
      </w:r>
      <w:r>
        <w:rPr>
          <w:lang w:val="ru-RU" w:eastAsia="ru-RU"/>
        </w:rPr>
        <w:br/>
        <w:t>в кото</w:t>
      </w:r>
      <w:r>
        <w:rPr>
          <w:lang w:val="ru-RU" w:eastAsia="ru-RU"/>
        </w:rPr>
        <w:t xml:space="preserve">рых проходит обучение во вторую (третью) смену. </w:t>
      </w:r>
      <w:r>
        <w:rPr>
          <w:lang w:val="ru-RU" w:eastAsia="ru-RU"/>
        </w:rPr>
        <w:br/>
        <w:t xml:space="preserve">В общеобразовательных учреждениях района имеется достаточное количество мест для обеспечения возможности обучения всех учащихся </w:t>
      </w:r>
      <w:r>
        <w:rPr>
          <w:lang w:val="ru-RU" w:eastAsia="ru-RU"/>
        </w:rPr>
        <w:br/>
        <w:t xml:space="preserve">в одну смену. </w:t>
      </w:r>
    </w:p>
    <w:p w:rsidR="000D61D2" w:rsidRDefault="000D61D2">
      <w:pPr>
        <w:spacing w:after="0" w:line="245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spacing w:after="0" w:line="245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 №17. «Расходы бюджета муниципального </w:t>
      </w:r>
    </w:p>
    <w:p w:rsidR="000D61D2" w:rsidRDefault="001A00CF">
      <w:pPr>
        <w:spacing w:after="0" w:line="245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образования 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 общее образование в расчете на 1 обучающегося </w:t>
      </w:r>
    </w:p>
    <w:p w:rsidR="000D61D2" w:rsidRDefault="001A00CF">
      <w:pPr>
        <w:spacing w:after="0" w:line="245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муниципальных общеобразовательных организациях»</w:t>
      </w:r>
    </w:p>
    <w:p w:rsidR="000D61D2" w:rsidRDefault="000D61D2">
      <w:pPr>
        <w:spacing w:after="0" w:line="245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pStyle w:val="12"/>
        <w:spacing w:line="245" w:lineRule="auto"/>
        <w:ind w:firstLine="720"/>
        <w:contextualSpacing/>
        <w:jc w:val="both"/>
        <w:rPr>
          <w:lang w:val="ru-RU" w:eastAsia="ru-RU"/>
        </w:rPr>
      </w:pPr>
      <w:r>
        <w:rPr>
          <w:lang w:val="ru-RU" w:eastAsia="ru-RU"/>
        </w:rPr>
        <w:t>Показатель скорректирован по итогам года. Изменена методика расчета показателя.</w:t>
      </w:r>
    </w:p>
    <w:p w:rsidR="000D61D2" w:rsidRDefault="000D61D2">
      <w:pPr>
        <w:pStyle w:val="12"/>
        <w:spacing w:line="245" w:lineRule="auto"/>
        <w:ind w:firstLine="720"/>
        <w:contextualSpacing/>
        <w:jc w:val="both"/>
        <w:rPr>
          <w:lang w:val="ru-RU" w:eastAsia="ru-RU"/>
        </w:rPr>
      </w:pPr>
    </w:p>
    <w:p w:rsidR="000D61D2" w:rsidRDefault="001A00CF">
      <w:pPr>
        <w:spacing w:after="0" w:line="245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Показатель №18.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«Доля детей в возрасте 5 – 18 лет, получающих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br/>
        <w:t>услуги по до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</w:t>
      </w:r>
    </w:p>
    <w:p w:rsidR="000D61D2" w:rsidRDefault="000D61D2">
      <w:pPr>
        <w:spacing w:after="0" w:line="245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pStyle w:val="12"/>
        <w:spacing w:line="245" w:lineRule="auto"/>
        <w:ind w:firstLine="720"/>
        <w:contextualSpacing/>
        <w:jc w:val="both"/>
        <w:rPr>
          <w:lang w:val="ru-RU" w:eastAsia="ru-RU"/>
        </w:rPr>
      </w:pPr>
      <w:r>
        <w:rPr>
          <w:lang w:val="ru-RU" w:eastAsia="ru-RU"/>
        </w:rPr>
        <w:t>Показатель достигнут путем создания новых программ дополнительного образования, позволивших вовлечь</w:t>
      </w:r>
      <w:r>
        <w:rPr>
          <w:lang w:val="ru-RU" w:eastAsia="ru-RU"/>
        </w:rPr>
        <w:t xml:space="preserve"> большее количество  воспитанников ДОУ (детей в возрасте 5-6 лет) и обучающихся  СПО (Чернянского агромеханического техникума) (дети возрастом 16-18 лет).</w:t>
      </w:r>
    </w:p>
    <w:p w:rsidR="000D61D2" w:rsidRDefault="000D61D2">
      <w:pPr>
        <w:pStyle w:val="12"/>
        <w:spacing w:line="245" w:lineRule="auto"/>
        <w:ind w:firstLine="720"/>
        <w:contextualSpacing/>
        <w:jc w:val="both"/>
        <w:rPr>
          <w:lang w:val="ru-RU" w:eastAsia="ru-RU"/>
        </w:rPr>
      </w:pPr>
    </w:p>
    <w:p w:rsidR="000D61D2" w:rsidRDefault="001A00CF">
      <w:pPr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3.4. Анализ сферы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Культура»</w:t>
      </w:r>
    </w:p>
    <w:p w:rsidR="000D61D2" w:rsidRDefault="000D61D2">
      <w:pPr>
        <w:spacing w:after="0" w:line="235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В отчетный период работа проводилась в соответствии </w:t>
      </w:r>
      <w:r>
        <w:rPr>
          <w:lang w:val="ru-RU" w:eastAsia="ru-RU"/>
        </w:rPr>
        <w:br/>
      </w:r>
      <w:r>
        <w:rPr>
          <w:lang w:val="ru-RU" w:eastAsia="ru-RU"/>
        </w:rPr>
        <w:t xml:space="preserve">с муниципальной программой «Развитие и сохранение культуры  Чернянского района», в рамках которой решались задачи, направленные </w:t>
      </w:r>
      <w:r>
        <w:rPr>
          <w:lang w:val="ru-RU" w:eastAsia="ru-RU"/>
        </w:rPr>
        <w:br/>
        <w:t>на модернизацию материально – технической базы культурно – досуговых учреждений района, создание условий для содержательного от</w:t>
      </w:r>
      <w:r>
        <w:rPr>
          <w:lang w:val="ru-RU" w:eastAsia="ru-RU"/>
        </w:rPr>
        <w:t xml:space="preserve">дыха </w:t>
      </w:r>
      <w:r>
        <w:rPr>
          <w:lang w:val="ru-RU" w:eastAsia="ru-RU"/>
        </w:rPr>
        <w:br/>
        <w:t>и творческого развития жителей района, на сохранение и популяризацию объектов культурного наследия в воспитании подрастающего поколения, поддержку любительского художественного и декоративно-прикладного творчества, талантливых детей, проектную деятел</w:t>
      </w:r>
      <w:r>
        <w:rPr>
          <w:lang w:val="ru-RU" w:eastAsia="ru-RU"/>
        </w:rPr>
        <w:t xml:space="preserve">ьность, обеспечение свободного доступа к информации через библиотечное обслуживание, развитие музейного дела и сельского туризма, подготовку кадров </w:t>
      </w:r>
      <w:r>
        <w:rPr>
          <w:lang w:val="ru-RU" w:eastAsia="ru-RU"/>
        </w:rPr>
        <w:br/>
        <w:t>для сферы культуры района.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В 2024 году творческие силы работников культуры направлены </w:t>
      </w:r>
      <w:r>
        <w:rPr>
          <w:lang w:val="ru-RU" w:eastAsia="ru-RU"/>
        </w:rPr>
        <w:br/>
        <w:t>на реализацию меропр</w:t>
      </w:r>
      <w:r>
        <w:rPr>
          <w:lang w:val="ru-RU" w:eastAsia="ru-RU"/>
        </w:rPr>
        <w:t>иятий, посвященных Году семьи, Дням воинской славы России, календарным, знаменательным и профессиональным праздникам, юбилейным датам деятелей культуры и искусства.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В учреждениях культуры были проведены новогодние праздники, Рождественские Гуляния. В дни ш</w:t>
      </w:r>
      <w:r>
        <w:rPr>
          <w:lang w:val="ru-RU" w:eastAsia="ru-RU"/>
        </w:rPr>
        <w:t>кольных зимних и весенних каникул для детей и молодежи специалистами  культурно-досуговых учреждений района были организованы  множество интересных тематических мероприятий в формате онлайн и офлайн: интерактивные игры, квизы, квесты, колоквиумы и познават</w:t>
      </w:r>
      <w:r>
        <w:rPr>
          <w:lang w:val="ru-RU" w:eastAsia="ru-RU"/>
        </w:rPr>
        <w:t xml:space="preserve">ельные программы, кино и мульт-гостиные, видеопрезентации и альманахи,  новогодние утренники </w:t>
      </w:r>
      <w:r>
        <w:rPr>
          <w:lang w:val="ru-RU" w:eastAsia="ru-RU"/>
        </w:rPr>
        <w:br/>
        <w:t>и костюмированные балы, театрализованные представления, танцевальные вечера отдыха с играми, конкурсами и розыгрышами, флешмобы, кэшенги.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С удовольствием дети и п</w:t>
      </w:r>
      <w:r>
        <w:rPr>
          <w:lang w:val="ru-RU" w:eastAsia="ru-RU"/>
        </w:rPr>
        <w:t xml:space="preserve">одростки принимали участие в мастер-классах студий и кружков декоративно-прикладного творчества </w:t>
      </w:r>
      <w:r>
        <w:rPr>
          <w:lang w:val="ru-RU" w:eastAsia="ru-RU"/>
        </w:rPr>
        <w:br/>
        <w:t xml:space="preserve">по изготовлению новогоднего и рождественского сувенира, во многих учреждениях культуры были организованы конкурсы поделок и рисунков. Мероприятия проходили не </w:t>
      </w:r>
      <w:r>
        <w:rPr>
          <w:lang w:val="ru-RU" w:eastAsia="ru-RU"/>
        </w:rPr>
        <w:t xml:space="preserve">только в зданиях Домов культуры, </w:t>
      </w:r>
      <w:r>
        <w:rPr>
          <w:lang w:val="ru-RU" w:eastAsia="ru-RU"/>
        </w:rPr>
        <w:br/>
        <w:t>но и на улице: День зимних забав, час народной игры, катание на санках.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Ко Дню освобождения п. Чернянка от немецко-фашистских захватчиков  был проведен традиционный конкурс патриотической песни «Сыны России». Во всех сельс</w:t>
      </w:r>
      <w:r>
        <w:rPr>
          <w:lang w:val="ru-RU" w:eastAsia="ru-RU"/>
        </w:rPr>
        <w:t>ких поселениях состоялись митинги, праздничные концерты, посвященные этой дате.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Были подготовлены и проведены следующие масштабные мероприятия: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- неделя православной культуры в рамках Международной выставке-форуме «Россия» (г. Москва);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- торжественное откр</w:t>
      </w:r>
      <w:r>
        <w:rPr>
          <w:lang w:val="ru-RU" w:eastAsia="ru-RU"/>
        </w:rPr>
        <w:t xml:space="preserve">ытие Года семьи в Белгородской области </w:t>
      </w:r>
      <w:r>
        <w:rPr>
          <w:lang w:val="ru-RU" w:eastAsia="ru-RU"/>
        </w:rPr>
        <w:br/>
        <w:t>в городе Старый Оскол;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-  смотр-конкурс военной и патриотической песни «Сыны </w:t>
      </w:r>
      <w:r>
        <w:rPr>
          <w:lang w:val="ru-RU" w:eastAsia="ru-RU"/>
        </w:rPr>
        <w:br/>
        <w:t>России - 2024»;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lastRenderedPageBreak/>
        <w:t xml:space="preserve">- торжественное мероприятие, посвящённое открытию Года семьи </w:t>
      </w:r>
      <w:r>
        <w:rPr>
          <w:lang w:val="ru-RU" w:eastAsia="ru-RU"/>
        </w:rPr>
        <w:br/>
        <w:t>в Чернянском районе;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- торжественное мероприятие, посвящённо</w:t>
      </w:r>
      <w:r>
        <w:rPr>
          <w:lang w:val="ru-RU" w:eastAsia="ru-RU"/>
        </w:rPr>
        <w:t>е 70-летию со Дня образования Белгородской области в Чернянском районе «Вместе созидаем процветание»;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- экскурсионные программы в рамках Губернаторского проекта </w:t>
      </w:r>
      <w:r>
        <w:rPr>
          <w:lang w:val="ru-RU" w:eastAsia="ru-RU"/>
        </w:rPr>
        <w:br/>
        <w:t>«К соседям в гости» - «У себя в гостях»;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- выставка, посвящённая 70-летию образования Белгород</w:t>
      </w:r>
      <w:r>
        <w:rPr>
          <w:lang w:val="ru-RU" w:eastAsia="ru-RU"/>
        </w:rPr>
        <w:t>ской области «Коллекция ватных игрушек Светланы Шатохиной»;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- районный фестиваль спортивного туризма «Зимний движ - 2024»;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- тематические мероприятия на УИК муниципального района «Чернянский район» (учреждения культуры) в рамках избирательной кампании «Вес</w:t>
      </w:r>
      <w:r>
        <w:rPr>
          <w:lang w:val="ru-RU" w:eastAsia="ru-RU"/>
        </w:rPr>
        <w:t>на-2024»;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- тематические мероприятия в рамках акции «#Всейсемьёй»;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- концертные программы в рамках работы Агитпоезда «Культурный десант» в сельских поселениях Чернянского района;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- мероприятия, культурные акции, посвященные Дню семьи, любви </w:t>
      </w:r>
      <w:r>
        <w:rPr>
          <w:lang w:val="ru-RU" w:eastAsia="ru-RU"/>
        </w:rPr>
        <w:br/>
        <w:t>и верности;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- </w:t>
      </w:r>
      <w:r>
        <w:rPr>
          <w:lang w:val="ru-RU" w:eastAsia="ru-RU"/>
        </w:rPr>
        <w:t>мероприятия, посвященные празднованию 80-летия Прохоровского танкового сражения, Дню флага России, Дню освобождения города Белгород;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- творческие отчёты культурно-досуговых учреждений «Земли моей талантливые люди» в парке культуры и отдыха;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- арт-концерт н</w:t>
      </w:r>
      <w:r>
        <w:rPr>
          <w:lang w:val="ru-RU" w:eastAsia="ru-RU"/>
        </w:rPr>
        <w:t>ародного творчества «Этно культурный код» в рамках празднования Единого Дня фольклора;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-  III летний парад физкультурников.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На высоком организационном уровне прошел цикл мероприятий «Судьбой Единой» – посвященный 367-летие со дня образования </w:t>
      </w:r>
      <w:r>
        <w:rPr>
          <w:lang w:val="ru-RU" w:eastAsia="ru-RU"/>
        </w:rPr>
        <w:br/>
        <w:t xml:space="preserve">п. Чернянка, </w:t>
      </w:r>
      <w:r>
        <w:rPr>
          <w:lang w:val="ru-RU" w:eastAsia="ru-RU"/>
        </w:rPr>
        <w:t>престольному празднику посёлка Чернянка – Успение Пресвятой Богородицы, Дню образования района.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В Центре культурного развития прошёл районный инклюзивный фестиваль «Поверь в себя», организованный проектом-победителем Фонда Президентских грантов.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bCs/>
          <w:iCs/>
          <w:szCs w:val="28"/>
          <w:lang w:val="ru-RU" w:eastAsia="ru-RU"/>
        </w:rPr>
      </w:pPr>
      <w:r>
        <w:rPr>
          <w:lang w:val="ru-RU" w:eastAsia="ru-RU"/>
        </w:rPr>
        <w:t xml:space="preserve">В </w:t>
      </w:r>
      <w:r>
        <w:rPr>
          <w:lang w:val="ru-RU" w:eastAsia="ru-RU"/>
        </w:rPr>
        <w:t xml:space="preserve">преддверии Дня матери состоялся литературно-музыкальный вернисаж «Свет материнства, свет любви». Сотрудники районной библиотеки и управления социальной защиты населения создали в зале особую, теплую атмосферу для матерей военнослужащих, погибших </w:t>
      </w:r>
      <w:r>
        <w:rPr>
          <w:lang w:val="ru-RU" w:eastAsia="ru-RU"/>
        </w:rPr>
        <w:br/>
        <w:t>при испол</w:t>
      </w:r>
      <w:r>
        <w:rPr>
          <w:lang w:val="ru-RU" w:eastAsia="ru-RU"/>
        </w:rPr>
        <w:t xml:space="preserve">нении воинского долга в ходе специальной военной операции </w:t>
      </w:r>
      <w:r>
        <w:rPr>
          <w:lang w:val="ru-RU" w:eastAsia="ru-RU"/>
        </w:rPr>
        <w:br/>
        <w:t>и локальных конфликтов.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В 2024 году подведены итоги работы сферы культуры муниципальных образований в 2023 году. По итогам рейтингового соревнования управление культуры района заняло II место, в </w:t>
      </w:r>
      <w:r>
        <w:rPr>
          <w:lang w:val="ru-RU" w:eastAsia="ru-RU"/>
        </w:rPr>
        <w:t xml:space="preserve">лидерах оказались и муниципальные учреждения культуры: Чернянская центральная районная библиотека, Районный краеведческий музей заняли 1 место в областном рейтинговом соревновании, Детская школа искусств </w:t>
      </w:r>
      <w:r>
        <w:rPr>
          <w:lang w:val="ru-RU" w:eastAsia="ru-RU"/>
        </w:rPr>
        <w:lastRenderedPageBreak/>
        <w:t>п. Чернянка – 2 место, Ездоченский Доим ремесел и Де</w:t>
      </w:r>
      <w:r>
        <w:rPr>
          <w:lang w:val="ru-RU" w:eastAsia="ru-RU"/>
        </w:rPr>
        <w:t>тская школа искусств с. Ездочное   – 3 место.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Победу в грантовых конкурсах 2023 – 2024 года одержали следующие  проекты: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bCs/>
          <w:szCs w:val="28"/>
          <w:lang w:val="ru-RU" w:eastAsia="ru-RU"/>
        </w:rPr>
      </w:pPr>
      <w:r>
        <w:rPr>
          <w:lang w:val="ru-RU" w:eastAsia="ru-RU"/>
        </w:rPr>
        <w:t>Проект МБУ ДО «Детская школа искусств с. Ездочное» «Культурное пространство Донбасса и Белгородской области едино!» стал победителем гр</w:t>
      </w:r>
      <w:r>
        <w:rPr>
          <w:lang w:val="ru-RU" w:eastAsia="ru-RU"/>
        </w:rPr>
        <w:t xml:space="preserve">антового конкурса Фонда культурных инициатив. Общая сумма гранта </w:t>
      </w:r>
      <w:r>
        <w:rPr>
          <w:lang w:val="ru-RU" w:eastAsia="ru-RU"/>
        </w:rPr>
        <w:br/>
        <w:t xml:space="preserve">с учетом софинансирования составила 219,2 тыс. рублей.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Проект МБУК «Чернянский районный центр народного творчества </w:t>
      </w:r>
      <w:r>
        <w:rPr>
          <w:lang w:val="ru-RU" w:eastAsia="ru-RU"/>
        </w:rPr>
        <w:br/>
        <w:t>и культурно-досуговой деятельности» и Автономная некоммерческая организац</w:t>
      </w:r>
      <w:r>
        <w:rPr>
          <w:lang w:val="ru-RU" w:eastAsia="ru-RU"/>
        </w:rPr>
        <w:t xml:space="preserve">ия «Редакция газеты «Приосколье» «ЭТНО марафон «Диалог культур» получил поддержку Фонда президентских грантов на сумму 428,1 тыс. рублей.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Районный краеведческий музей реализовал проект «СВОи герои», ставший победителем Президентского Фонда культурных иниц</w:t>
      </w:r>
      <w:r>
        <w:rPr>
          <w:lang w:val="ru-RU" w:eastAsia="ru-RU"/>
        </w:rPr>
        <w:t xml:space="preserve">иатив. Сумма гранта - 558,4 тыс. рублей. Благодаря проекту в центре поселка открылась выставка, посвященная погибшим героям – чернянцам.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Еще один проект районного краеведческого музея «Zаветам Vерны», победивший в Конкурсе на предоставление субсидий НКО Б</w:t>
      </w:r>
      <w:r>
        <w:rPr>
          <w:lang w:val="ru-RU" w:eastAsia="ru-RU"/>
        </w:rPr>
        <w:t>елгородской области, сумма гранта - 546,5  тыс. рублей.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МБУК «Чернянский районный центр народного творчества </w:t>
      </w:r>
      <w:r>
        <w:rPr>
          <w:lang w:val="ru-RU" w:eastAsia="ru-RU"/>
        </w:rPr>
        <w:br/>
        <w:t>и культурно – досуговой деятельности» и Чернянская местная организация всероссийской общественной организации ветеранов (пенсионеров) войны, труда</w:t>
      </w:r>
      <w:r>
        <w:rPr>
          <w:lang w:val="ru-RU" w:eastAsia="ru-RU"/>
        </w:rPr>
        <w:t>, вооруженных сил и правоохранительных органов стали победителями конкурса 2024 года Фонда президентских грантов – проект «203 шага к Победе», сумма гранта - 428,5 тыс. рублей.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bCs/>
          <w:szCs w:val="28"/>
          <w:lang w:val="ru-RU" w:eastAsia="ru-RU"/>
        </w:rPr>
      </w:pPr>
      <w:r>
        <w:rPr>
          <w:lang w:val="ru-RU" w:eastAsia="ru-RU"/>
        </w:rPr>
        <w:t>МБУК «Чернянская центральная районная библиотека» одержала победу в конкурсе Пр</w:t>
      </w:r>
      <w:r>
        <w:rPr>
          <w:lang w:val="ru-RU" w:eastAsia="ru-RU"/>
        </w:rPr>
        <w:t>езидентский фонд культурных инициатив с проектом «BiblioCLUB.Семья», сумма гранта – 779 тыс. рублей.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МБУК «Чернянский районный центр народного творчества </w:t>
      </w:r>
      <w:r>
        <w:rPr>
          <w:lang w:val="ru-RU" w:eastAsia="ru-RU"/>
        </w:rPr>
        <w:br/>
        <w:t>и культурно – досуговой деятельности» стал победителем конкурса Президентского фонда культурных иници</w:t>
      </w:r>
      <w:r>
        <w:rPr>
          <w:lang w:val="ru-RU" w:eastAsia="ru-RU"/>
        </w:rPr>
        <w:t>атив - проект «Фестиваль подсолнечного масла «ПОДсолнуХ-fes», сумма гранта - 315,9 тыс. рублей.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МБУК «Чернянский районный центр народного творчества </w:t>
      </w:r>
      <w:r>
        <w:rPr>
          <w:lang w:val="ru-RU" w:eastAsia="ru-RU"/>
        </w:rPr>
        <w:br/>
        <w:t>и культурно – досуговой деятельности» и Фонд развития муниципального района «Чернянский район» стали побед</w:t>
      </w:r>
      <w:r>
        <w:rPr>
          <w:lang w:val="ru-RU" w:eastAsia="ru-RU"/>
        </w:rPr>
        <w:t>ителями Второго регионального конкурса 2024 года субсидий для НКО - проект «Интерактивный парад профессий «ПРОф комПас», сумма гранта - 362,4 тыс. рублей.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Масштабная работа проводилась в рамках Губернаторского проекта «К соседям в гости». Чернянский район </w:t>
      </w:r>
      <w:r>
        <w:rPr>
          <w:lang w:val="ru-RU" w:eastAsia="ru-RU"/>
        </w:rPr>
        <w:t>посетили более 1 тыс. граждан старшего поколения из 9 районов области.  Для них организованы экскурсии на объекты культуры, образования, спорта, здравоохранения, объекты малого бизнеса, расположенные на территории муниципалитета, подготовлены интеллектуаль</w:t>
      </w:r>
      <w:r>
        <w:rPr>
          <w:lang w:val="ru-RU" w:eastAsia="ru-RU"/>
        </w:rPr>
        <w:t>ные и концертные программы с участием лучших творческих коллективов и солистов.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bCs/>
          <w:szCs w:val="28"/>
          <w:lang w:val="ru-RU" w:eastAsia="ru-RU"/>
        </w:rPr>
      </w:pPr>
      <w:r>
        <w:rPr>
          <w:lang w:val="ru-RU" w:eastAsia="ru-RU"/>
        </w:rPr>
        <w:lastRenderedPageBreak/>
        <w:t>Была продолжена работа по сохранению и популяризации объектов культурного наследия, расположенных на территории района. В настоящее время приоритетной является работа по обеспе</w:t>
      </w:r>
      <w:r>
        <w:rPr>
          <w:lang w:val="ru-RU" w:eastAsia="ru-RU"/>
        </w:rPr>
        <w:t>чению объектов культурного наследия зонами охраны. В 2024 году зоны охраны разработаны на 7 памятников воинской славы.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В отношении 22-х памятников воинской славы утверждена Дорожная карта по разработке зон охраны на объекты культурного наследия на 2023-202</w:t>
      </w:r>
      <w:r>
        <w:rPr>
          <w:lang w:val="ru-RU" w:eastAsia="ru-RU"/>
        </w:rPr>
        <w:t>4 гг.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На два памятника архитектуры местного значения: Троицкая церковь в с. Окуни и Храм Казанской иконы Божьей Матери в с. Комаревцево утверждена Дорожная карта по разработке зон охраны на объекты культурного наследия на 2025 год.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В рамках федеральной цел</w:t>
      </w:r>
      <w:r>
        <w:rPr>
          <w:lang w:val="ru-RU" w:eastAsia="ru-RU"/>
        </w:rPr>
        <w:t xml:space="preserve">евой программы «Увековечение памяти погибших при защите Отечества на 2019-2024 годы» в 2024 году произведен ремонт памятников воинской славы в селах Прилепы </w:t>
      </w:r>
      <w:r>
        <w:rPr>
          <w:lang w:val="ru-RU" w:eastAsia="ru-RU"/>
        </w:rPr>
        <w:br/>
        <w:t xml:space="preserve">и Волоконовка (на ремонт каждого памятника израсходовано </w:t>
      </w:r>
      <w:r>
        <w:rPr>
          <w:lang w:val="ru-RU" w:eastAsia="ru-RU"/>
        </w:rPr>
        <w:br/>
        <w:t>455 тыс. рублей из федерального бюджета,</w:t>
      </w:r>
      <w:r>
        <w:rPr>
          <w:lang w:val="ru-RU" w:eastAsia="ru-RU"/>
        </w:rPr>
        <w:t xml:space="preserve"> 121 тыс. рублей </w:t>
      </w:r>
      <w:r>
        <w:rPr>
          <w:lang w:val="ru-RU" w:eastAsia="ru-RU"/>
        </w:rPr>
        <w:br/>
        <w:t>из регионального и 64 тыс. рублей из местного бюджета).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Осуществлялась работа по увековечению памяти выдающихся земляков.  Установлены 11 мемориальных досок в память о чернянцах, погибших в ходе специальной военной операции на Украине.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bCs/>
          <w:szCs w:val="28"/>
          <w:lang w:val="ru-RU" w:eastAsia="ru-RU"/>
        </w:rPr>
      </w:pPr>
      <w:r>
        <w:rPr>
          <w:lang w:val="ru-RU" w:eastAsia="ru-RU"/>
        </w:rPr>
        <w:t>У</w:t>
      </w:r>
      <w:r>
        <w:rPr>
          <w:lang w:val="ru-RU" w:eastAsia="ru-RU"/>
        </w:rPr>
        <w:t xml:space="preserve">чреждения дополнительного образования района достойно представляли район в различных конкурсах - от регионального </w:t>
      </w:r>
      <w:r>
        <w:rPr>
          <w:lang w:val="ru-RU" w:eastAsia="ru-RU"/>
        </w:rPr>
        <w:br/>
        <w:t>до международного. Хореографический коллектив «Радость» детской школы искусств п. Чернянка стал победителем международного конкурса «Берег по</w:t>
      </w:r>
      <w:r>
        <w:rPr>
          <w:lang w:val="ru-RU" w:eastAsia="ru-RU"/>
        </w:rPr>
        <w:t xml:space="preserve">бед» в г. Сочи. 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Управление культуры Чернянского района активно участвует </w:t>
      </w:r>
      <w:r>
        <w:rPr>
          <w:lang w:val="ru-RU" w:eastAsia="ru-RU"/>
        </w:rPr>
        <w:br/>
        <w:t>в реализации национального проекта «Культура».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Согласно региональной составляющей национального проекта «Культура», «Творческие люди» повысили квалификацию 21 специалист учреждений</w:t>
      </w:r>
      <w:r>
        <w:rPr>
          <w:lang w:val="ru-RU" w:eastAsia="ru-RU"/>
        </w:rPr>
        <w:t xml:space="preserve"> культуры района.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 За 2024 год передвижной центр совершил 73 выезда с охватом </w:t>
      </w:r>
      <w:r>
        <w:rPr>
          <w:lang w:val="ru-RU" w:eastAsia="ru-RU"/>
        </w:rPr>
        <w:br/>
        <w:t>7 820 жителей из 27 населенных пунктов, не имеющих стационарных учреждений культуры.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В рамках национального проекта «Культура» был капитально отремонтирован Комаревцевскицй клуб</w:t>
      </w:r>
      <w:r>
        <w:rPr>
          <w:lang w:val="ru-RU" w:eastAsia="ru-RU"/>
        </w:rPr>
        <w:t xml:space="preserve"> – библиотека. Было освоено </w:t>
      </w:r>
      <w:r>
        <w:rPr>
          <w:lang w:val="ru-RU" w:eastAsia="ru-RU"/>
        </w:rPr>
        <w:br/>
        <w:t xml:space="preserve">13,7 млн рублей - 7,8 млн рублей из федерального бюджета, 5,5 тыс. рублей из областного бюджета и 686 тыс. рублей местный бюджет. </w:t>
      </w:r>
      <w:r>
        <w:rPr>
          <w:lang w:val="ru-RU" w:eastAsia="ru-RU"/>
        </w:rPr>
        <w:br/>
        <w:t>Так же клуб – библиотека был укомплектован специальным – оборудованием: было приобретено звукоус</w:t>
      </w:r>
      <w:r>
        <w:rPr>
          <w:lang w:val="ru-RU" w:eastAsia="ru-RU"/>
        </w:rPr>
        <w:t xml:space="preserve">илительное и мультимедийное оборудование, мебель, одежда сцены, шторы, игровое оборудование: бильярд, теннис, интерактивные игры.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В 2024 году учреждения культуры района добились определенных успехов в рамках цифровой культуры по сравнению с 2023 годом – к</w:t>
      </w:r>
      <w:r>
        <w:rPr>
          <w:lang w:val="ru-RU" w:eastAsia="ru-RU"/>
        </w:rPr>
        <w:t xml:space="preserve">оличество онлайн трансляций составило 392, в 2023 году – 319 </w:t>
      </w:r>
      <w:r>
        <w:rPr>
          <w:lang w:val="ru-RU" w:eastAsia="ru-RU"/>
        </w:rPr>
        <w:br/>
        <w:t xml:space="preserve">(+73 к 2023 году,  + 22 %.).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lastRenderedPageBreak/>
        <w:t>Все 9 учреждений культуры района, имеющие статус юридического лица, имеют личный кабинет на портале  Pro.Культура.РФ. Количество событий, размещенных на портале Pro</w:t>
      </w:r>
      <w:r>
        <w:rPr>
          <w:lang w:val="ru-RU" w:eastAsia="ru-RU"/>
        </w:rPr>
        <w:t>.Культура.РФ учреждениями культуры Чернянского района - 5 834. Количество онлайн-трансляций, размещенных на портале Pro.Культура.РФ учреждениями культуры Чернянского района - 392. Количество «визитов» на портале Pro.Культура.РФ – 86 837.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По итогам 2024 год</w:t>
      </w:r>
      <w:r>
        <w:rPr>
          <w:lang w:val="ru-RU" w:eastAsia="ru-RU"/>
        </w:rPr>
        <w:t>а количество экскурсантов, посетивших объекты туристического показа района, составило 81,2 тыс. человек.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b/>
          <w:sz w:val="26"/>
          <w:szCs w:val="26"/>
          <w:lang w:val="ru-RU" w:eastAsia="ru-RU"/>
        </w:rPr>
      </w:pPr>
      <w:r>
        <w:rPr>
          <w:lang w:val="ru-RU" w:eastAsia="ru-RU"/>
        </w:rPr>
        <w:t xml:space="preserve">В 2024 году в культурно – досуговых учреждениях продолжили </w:t>
      </w:r>
      <w:r>
        <w:rPr>
          <w:lang w:val="ru-RU" w:eastAsia="ru-RU"/>
        </w:rPr>
        <w:br/>
        <w:t xml:space="preserve">свою работу 491 клубных формирований, число участников в клубах </w:t>
      </w:r>
      <w:r>
        <w:rPr>
          <w:lang w:val="ru-RU" w:eastAsia="ru-RU"/>
        </w:rPr>
        <w:br/>
        <w:t>по интересам и любительски</w:t>
      </w:r>
      <w:r>
        <w:rPr>
          <w:lang w:val="ru-RU" w:eastAsia="ru-RU"/>
        </w:rPr>
        <w:t xml:space="preserve">х объединениях, кружках художественного </w:t>
      </w:r>
      <w:r>
        <w:rPr>
          <w:lang w:val="ru-RU" w:eastAsia="ru-RU"/>
        </w:rPr>
        <w:br/>
        <w:t xml:space="preserve">и декоративно – прикладного творчества  составило 7 993 человек. </w:t>
      </w:r>
      <w:r>
        <w:rPr>
          <w:lang w:val="ru-RU" w:eastAsia="ru-RU"/>
        </w:rPr>
        <w:br/>
        <w:t xml:space="preserve">23 творческих коллектива носят почетное звание «народный» </w:t>
      </w:r>
      <w:r>
        <w:rPr>
          <w:lang w:val="ru-RU" w:eastAsia="ru-RU"/>
        </w:rPr>
        <w:br/>
        <w:t>и «образцовый».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За 2024 год культурно – досуговыми учреждениями района </w:t>
      </w:r>
      <w:r>
        <w:rPr>
          <w:lang w:val="ru-RU" w:eastAsia="ru-RU"/>
        </w:rPr>
        <w:br/>
        <w:t xml:space="preserve">и дополнительного </w:t>
      </w:r>
      <w:r>
        <w:rPr>
          <w:lang w:val="ru-RU" w:eastAsia="ru-RU"/>
        </w:rPr>
        <w:t xml:space="preserve">образования района было проведено 12 534 мероприятия, которые посетило 1,4 млн человек. 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Во всех учреждениях и в социальных сетях активно размещаются публикации о преимуществах и возможностях программы «Пушкинская карта»</w:t>
      </w:r>
      <w:r>
        <w:rPr>
          <w:lang w:val="ru-RU" w:eastAsia="ru-RU"/>
        </w:rPr>
        <w:t xml:space="preserve">, специалисты оказывают помощь при оформлении карт, регулярно организуют мероприятия интересные для молодежи.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Вся информация о проведении культурно - массовых мероприятий регулярно размещается на сайте управления культуры района, социальных сетях, портале</w:t>
      </w:r>
      <w:r>
        <w:rPr>
          <w:lang w:val="ru-RU" w:eastAsia="ru-RU"/>
        </w:rPr>
        <w:t xml:space="preserve"> «Культура РФ».</w:t>
      </w:r>
    </w:p>
    <w:p w:rsidR="000D61D2" w:rsidRDefault="000D61D2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</w:p>
    <w:p w:rsidR="000D61D2" w:rsidRDefault="001A00CF">
      <w:pPr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 № 19. «Уровень фактической обеспеченности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организациями культуры от нормативной потребности»</w:t>
      </w:r>
    </w:p>
    <w:p w:rsidR="000D61D2" w:rsidRDefault="000D61D2">
      <w:pPr>
        <w:pStyle w:val="12"/>
        <w:spacing w:line="235" w:lineRule="auto"/>
        <w:ind w:firstLine="720"/>
        <w:contextualSpacing/>
        <w:jc w:val="both"/>
        <w:rPr>
          <w:lang w:val="ru-RU" w:eastAsia="ru-RU"/>
        </w:rPr>
      </w:pP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В 2024 году уровень фактической обеспеченности организациями культуры  в Чернянском районе соответствует нормативу и составляет: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b/>
          <w:szCs w:val="28"/>
          <w:lang w:val="ru-RU" w:eastAsia="ru-RU"/>
        </w:rPr>
      </w:pPr>
      <w:r>
        <w:rPr>
          <w:lang w:val="ru-RU" w:eastAsia="ru-RU"/>
        </w:rPr>
        <w:t>- клубами и учреждениями клубного типа – 100%;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- библиотеками, от нормативной потребности – 100%;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- парками культуры и отдыха – 100% 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Открытия новых организаций культуры не планируется.</w:t>
      </w:r>
    </w:p>
    <w:p w:rsidR="000D61D2" w:rsidRDefault="000D61D2">
      <w:pPr>
        <w:pStyle w:val="12"/>
        <w:spacing w:line="235" w:lineRule="auto"/>
        <w:ind w:firstLine="720"/>
        <w:contextualSpacing/>
        <w:jc w:val="both"/>
        <w:rPr>
          <w:lang w:val="ru-RU" w:eastAsia="ru-RU"/>
        </w:rPr>
      </w:pPr>
    </w:p>
    <w:p w:rsidR="000D61D2" w:rsidRDefault="001A00CF">
      <w:pPr>
        <w:pStyle w:val="a4"/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Показатель № 20. «Доля муниципальных организаций культуры, здания 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торых находятся в аварийном состоянии или требуют капитального ремонта, в общем количестве муниципальных организаций культуры»</w:t>
      </w:r>
    </w:p>
    <w:p w:rsidR="000D61D2" w:rsidRDefault="000D61D2">
      <w:pPr>
        <w:spacing w:after="0" w:line="235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По итогам 2024 года доля муниципальных учреждений культуры, здания которых находятся в аварийном состоянии или требуют капитальн</w:t>
      </w:r>
      <w:r>
        <w:rPr>
          <w:lang w:val="ru-RU" w:eastAsia="ru-RU"/>
        </w:rPr>
        <w:t xml:space="preserve">ого ремонта в общем количестве муниципальных учреждений культуры составляет 2,38%.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lastRenderedPageBreak/>
        <w:t>В районе имеются шесть учреждений, которым требуется капитальный ремонт.</w:t>
      </w:r>
    </w:p>
    <w:p w:rsidR="000D61D2" w:rsidRDefault="000D61D2">
      <w:pPr>
        <w:spacing w:after="0" w:line="235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Показатель № 21.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«Доля объектов культурного наследия,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находящихся в муниципальной собственности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требующих консервации или реставрации, в общем количестве объектов культурного наследия, находящихся в муниципальной собственности»</w:t>
      </w:r>
    </w:p>
    <w:p w:rsidR="000D61D2" w:rsidRDefault="000D61D2">
      <w:pPr>
        <w:spacing w:after="0" w:line="235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Значение показателя в 2024 году – 12,82 %, что выше значения </w:t>
      </w:r>
      <w:r>
        <w:rPr>
          <w:lang w:val="ru-RU" w:eastAsia="ru-RU"/>
        </w:rPr>
        <w:br/>
        <w:t>2023 года. В 2024 году в рамках федеральной целевой программ</w:t>
      </w:r>
      <w:r>
        <w:rPr>
          <w:lang w:val="ru-RU" w:eastAsia="ru-RU"/>
        </w:rPr>
        <w:t xml:space="preserve">ы «Увековечивание памяти погибших при защите Отечества </w:t>
      </w:r>
      <w:r>
        <w:rPr>
          <w:lang w:val="ru-RU" w:eastAsia="ru-RU"/>
        </w:rPr>
        <w:br/>
        <w:t xml:space="preserve">на 2019 - 2024 годы» капитально отремонтированы памятники Воинской славы в п.. Красный Остров, с. Русская Халань, с. Холки. В с. Прилепы </w:t>
      </w:r>
      <w:r>
        <w:rPr>
          <w:lang w:val="ru-RU" w:eastAsia="ru-RU"/>
        </w:rPr>
        <w:br/>
        <w:t>и центре п. Чернянка - памятник Скорбящей матери отремонтирова</w:t>
      </w:r>
      <w:r>
        <w:rPr>
          <w:lang w:val="ru-RU" w:eastAsia="ru-RU"/>
        </w:rPr>
        <w:t xml:space="preserve">ны </w:t>
      </w:r>
      <w:r>
        <w:rPr>
          <w:lang w:val="ru-RU" w:eastAsia="ru-RU"/>
        </w:rPr>
        <w:br/>
        <w:t>за счет местного бюджета. В 2025 году будут отремонтированы 3 памятника воинской Славы:в п. Чернянка по ул. Маринченко, в с. Хитрово, скульптура на ул. Октябрьская.</w:t>
      </w:r>
    </w:p>
    <w:p w:rsidR="000D61D2" w:rsidRDefault="000D61D2">
      <w:pPr>
        <w:spacing w:after="0" w:line="235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3.5. Анализ сферы</w:t>
      </w:r>
    </w:p>
    <w:p w:rsidR="000D61D2" w:rsidRDefault="001A00CF">
      <w:pPr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Физическая культура и спорт»</w:t>
      </w:r>
    </w:p>
    <w:p w:rsidR="000D61D2" w:rsidRDefault="000D61D2">
      <w:pPr>
        <w:pStyle w:val="a4"/>
        <w:spacing w:line="235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На территории Чернянского района проводились районные спортивно-массовые мероприятия, за период с января по декабрь 2024 года всего проведено 130 мероприятий по видам спорта: мини-футбол, футбол, шахматы, шашки, лыжные гонки, пулевая стрельба, жим лежа, па</w:t>
      </w:r>
      <w:r>
        <w:rPr>
          <w:lang w:val="ru-RU" w:eastAsia="ru-RU"/>
        </w:rPr>
        <w:t>уэрлифтинг, тяжелая атлетика,  хоккей с шайбой, плавание, полиатлон, настольный теннис, каратэ, легкой атлетике, уличной атлетике, соревнования и фестивали по ВФСК «ГТО» «Иду на рекорд». Мероприятия посвящаются памятным датам «Рождество Христово», «Дню осв</w:t>
      </w:r>
      <w:r>
        <w:rPr>
          <w:lang w:val="ru-RU" w:eastAsia="ru-RU"/>
        </w:rPr>
        <w:t xml:space="preserve">обождения п. Чернянка от немецко-фашистских захватчиков», «Дню защитников Отечества», «Международному женскому Дню», «Дню семьи, любви и верности», «Дню победы в ВОВ», «Прохоровскому танковому сражению», забег все на спорт,  5-я районная спартакиада среди </w:t>
      </w:r>
      <w:r>
        <w:rPr>
          <w:lang w:val="ru-RU" w:eastAsia="ru-RU"/>
        </w:rPr>
        <w:t xml:space="preserve">команд поселений района «Семья – залог будущего», соревнования среди дворовых команд в рамках проекта «Дворовый тренер». 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На территории п. Чернянка проходили открытые межрайонные </w:t>
      </w:r>
      <w:r>
        <w:rPr>
          <w:lang w:val="ru-RU" w:eastAsia="ru-RU"/>
        </w:rPr>
        <w:br/>
        <w:t xml:space="preserve">и областные соревнования по хоккею с шайбой, мини-футболу, футбол, пулевой </w:t>
      </w:r>
      <w:r>
        <w:rPr>
          <w:lang w:val="ru-RU" w:eastAsia="ru-RU"/>
        </w:rPr>
        <w:t>стрельбе, волейболу, вольной борьбе, бокс, кикбоксингу, тяжелой атлетике, пауэрлифтингу, каратэ всего 35 мероприятий.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Сборные команды района участвовали в межрайонных, областных соревнованиях по лыжным гонкам, боксу, каратэ, кикбоксингу, вольной борьбе, пу</w:t>
      </w:r>
      <w:r>
        <w:rPr>
          <w:lang w:val="ru-RU" w:eastAsia="ru-RU"/>
        </w:rPr>
        <w:t xml:space="preserve">левой стрельбе, чемпионате и первенстве области по мини-футболу, хоккею с шайбой, спартакиаде среди сельских территорий, среди сборных команд муниципальных образований и городских округов Белгородской области в 2024 году под девизом «За физическое </w:t>
      </w:r>
      <w:r>
        <w:rPr>
          <w:lang w:val="ru-RU" w:eastAsia="ru-RU"/>
        </w:rPr>
        <w:br/>
        <w:t>и нравс</w:t>
      </w:r>
      <w:r>
        <w:rPr>
          <w:lang w:val="ru-RU" w:eastAsia="ru-RU"/>
        </w:rPr>
        <w:t xml:space="preserve">твенное здоровье нации», парад физкультурников, губернаторская </w:t>
      </w:r>
      <w:r>
        <w:rPr>
          <w:lang w:val="ru-RU" w:eastAsia="ru-RU"/>
        </w:rPr>
        <w:lastRenderedPageBreak/>
        <w:t xml:space="preserve">эстафета, фестивали «Северная ходьба», ВФСК «ГТО», семейные состязания. Всего в 78 мероприятиях.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Израсходовано денежных средств из местного бюджета по статье «ФК и спорт» на проведение и участ</w:t>
      </w:r>
      <w:r>
        <w:rPr>
          <w:lang w:val="ru-RU" w:eastAsia="ru-RU"/>
        </w:rPr>
        <w:t xml:space="preserve">ие в соревнованиях  – </w:t>
      </w:r>
      <w:r>
        <w:rPr>
          <w:lang w:val="ru-RU" w:eastAsia="ru-RU"/>
        </w:rPr>
        <w:br/>
        <w:t>2 389,8 тыс. рублей.</w:t>
      </w:r>
    </w:p>
    <w:p w:rsidR="000D61D2" w:rsidRDefault="000D61D2">
      <w:pPr>
        <w:pStyle w:val="a4"/>
        <w:spacing w:line="235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61D2" w:rsidRDefault="001A00CF">
      <w:pPr>
        <w:pStyle w:val="a4"/>
        <w:spacing w:line="235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Показатель № 22.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«Доля населения, систематически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занимающегося физической культурой и спортом»</w:t>
      </w:r>
    </w:p>
    <w:p w:rsidR="000D61D2" w:rsidRDefault="000D61D2">
      <w:pPr>
        <w:pStyle w:val="12"/>
        <w:spacing w:line="235" w:lineRule="auto"/>
        <w:ind w:firstLine="720"/>
        <w:contextualSpacing/>
        <w:jc w:val="both"/>
        <w:rPr>
          <w:lang w:val="ru-RU" w:eastAsia="ru-RU"/>
        </w:rPr>
      </w:pP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Доля занимающихся физкультурой и спортом составляет 60,25 %  </w:t>
      </w:r>
      <w:r>
        <w:rPr>
          <w:lang w:val="ru-RU" w:eastAsia="ru-RU"/>
        </w:rPr>
        <w:br/>
        <w:t xml:space="preserve">от общей численности населения района в возрасте от </w:t>
      </w:r>
      <w:r>
        <w:rPr>
          <w:lang w:val="ru-RU" w:eastAsia="ru-RU"/>
        </w:rPr>
        <w:t>3 до 79 лет. Увеличение показателя систематически занимающихся физической нагрузкой произошло в связи с увеличением количества проводимых спортивных мероприятий на территории района.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В планах на 2025 год увеличить численность населения района, систематичес</w:t>
      </w:r>
      <w:r>
        <w:rPr>
          <w:lang w:val="ru-RU" w:eastAsia="ru-RU"/>
        </w:rPr>
        <w:t>ки занимающегося физической культурой и спортом за счет увеличения количества спортивно-массовых мероприятий, пропаганды здорового образа жизни, повышения привлекательности спортивных объектов района, а также за счет реализации муниципальных проектов</w:t>
      </w:r>
      <w:r>
        <w:rPr>
          <w:lang w:val="ru-RU" w:eastAsia="ru-RU"/>
        </w:rPr>
        <w:br/>
        <w:t xml:space="preserve"> а та</w:t>
      </w:r>
      <w:r>
        <w:rPr>
          <w:lang w:val="ru-RU" w:eastAsia="ru-RU"/>
        </w:rPr>
        <w:t>кже в рамках реализации муниципальной программы «Развитие физической культуры и спорта в Чернянском районе Белгородской области».</w:t>
      </w:r>
    </w:p>
    <w:p w:rsidR="000D61D2" w:rsidRDefault="000D61D2">
      <w:pPr>
        <w:spacing w:after="0" w:line="235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pStyle w:val="a4"/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Показатель № 23.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«Доля обучающихся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систематически занимающихся физической культурой и спортом, в общей численности обучающихся»</w:t>
      </w:r>
    </w:p>
    <w:p w:rsidR="000D61D2" w:rsidRDefault="000D61D2">
      <w:pPr>
        <w:spacing w:after="0" w:line="235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В 2024 году значение показателя составило 99,32 %. Увеличение показателя произошло в связи с увеличением количества обучающихся  привлеченных в проводимые мероп</w:t>
      </w:r>
      <w:r>
        <w:rPr>
          <w:lang w:val="ru-RU" w:eastAsia="ru-RU"/>
        </w:rPr>
        <w:t>риятия на территории района.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Современная материально-техническая база спортивных объектов способствует тому, что обучающиеся занимаются спортом в нескольких секциях. </w:t>
      </w:r>
    </w:p>
    <w:p w:rsidR="000D61D2" w:rsidRDefault="000D61D2">
      <w:pPr>
        <w:spacing w:after="0" w:line="235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3.6. Анализ сферы</w:t>
      </w:r>
    </w:p>
    <w:p w:rsidR="000D61D2" w:rsidRDefault="001A00CF">
      <w:pPr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Жилищное строительство и обеспечение граждан жильем»</w:t>
      </w:r>
    </w:p>
    <w:p w:rsidR="000D61D2" w:rsidRDefault="000D61D2">
      <w:pPr>
        <w:pStyle w:val="a4"/>
        <w:spacing w:line="235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В Чернянском ра</w:t>
      </w:r>
      <w:r>
        <w:rPr>
          <w:lang w:val="ru-RU" w:eastAsia="ru-RU"/>
        </w:rPr>
        <w:t>йоне успешно реализуется муниципальная программа «Обеспечение комфортным и доступным жильем жителей Чернянского района Белгородской области», направленная на обеспечение населения комфортным и доступным жильем и обеспечение населения коммунальными услугами</w:t>
      </w:r>
      <w:r>
        <w:rPr>
          <w:lang w:val="ru-RU" w:eastAsia="ru-RU"/>
        </w:rPr>
        <w:t>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Одной из важных задач администрации района остается жилищное строительство, а также содействие жителям в улучшении жилищных условий. В соответствии с реализацией подпрограммы «Стимулирование развития жилищного строительства» государственной программы </w:t>
      </w:r>
      <w:r>
        <w:rPr>
          <w:lang w:val="ru-RU" w:eastAsia="ru-RU"/>
        </w:rPr>
        <w:lastRenderedPageBreak/>
        <w:t>Бел</w:t>
      </w:r>
      <w:r>
        <w:rPr>
          <w:lang w:val="ru-RU" w:eastAsia="ru-RU"/>
        </w:rPr>
        <w:t xml:space="preserve">городской области «Обеспечение доступным и комфортным жильем </w:t>
      </w:r>
      <w:r>
        <w:rPr>
          <w:lang w:val="ru-RU" w:eastAsia="ru-RU"/>
        </w:rPr>
        <w:br/>
        <w:t>и коммунальными услугами жителей Белгородской области», муниципальной программой «Обеспечение доступным и комфортным жильем, коммунальными услугами жителей Чернянского района Белгородской област</w:t>
      </w:r>
      <w:r>
        <w:rPr>
          <w:lang w:val="ru-RU" w:eastAsia="ru-RU"/>
        </w:rPr>
        <w:t xml:space="preserve">и», в Чернянском районе активно ведется жилищное строительство. Микрорайоны индивидуального жилищного строительства обеспечиваются инженерной инфраструктурой, автомобильными дорогами, оказывается финансово-кредитная поддержка застройщикам. </w:t>
      </w:r>
    </w:p>
    <w:p w:rsidR="000D61D2" w:rsidRDefault="000D61D2">
      <w:pPr>
        <w:spacing w:after="0" w:line="235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Показатель № 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«Общая площадь жилых помещений,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приходящаяся в среднем на одного жителя»</w:t>
      </w:r>
    </w:p>
    <w:p w:rsidR="000D61D2" w:rsidRDefault="000D61D2">
      <w:pPr>
        <w:spacing w:after="0" w:line="235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Общая площадь жилых помещений, приходящаяся в среднем </w:t>
      </w:r>
      <w:r>
        <w:rPr>
          <w:lang w:val="ru-RU" w:eastAsia="ru-RU"/>
        </w:rPr>
        <w:br/>
        <w:t xml:space="preserve">на одного жителя, увеличилась по отношению к 2023 году на 0,8 кв.м. </w:t>
      </w:r>
      <w:r>
        <w:rPr>
          <w:lang w:val="ru-RU" w:eastAsia="ru-RU"/>
        </w:rPr>
        <w:br/>
        <w:t>и составила 38 кв.м</w:t>
      </w:r>
      <w:r>
        <w:rPr>
          <w:lang w:val="ru-RU" w:eastAsia="ru-RU"/>
        </w:rPr>
        <w:t xml:space="preserve">. В соответствии государственной программой Белгородской области «Обеспечение доступным и комфортным жильем </w:t>
      </w:r>
      <w:r>
        <w:rPr>
          <w:lang w:val="ru-RU" w:eastAsia="ru-RU"/>
        </w:rPr>
        <w:br/>
        <w:t>и коммунальными услугами жителей Белгородской области», программой «Стимулирование развития жилищного строительства на территории района» в 2024 го</w:t>
      </w:r>
      <w:r>
        <w:rPr>
          <w:lang w:val="ru-RU" w:eastAsia="ru-RU"/>
        </w:rPr>
        <w:t>ду приобретено четыре жилья для детей-сирот, детей оставшихся без попечения родителей и лиц из их числа. Общая сумма покупки составила - 11,4 млн рублей. Две молодые семьи обеспечены жильем, общей стоимостью 4,5 млн рублей. Одной семье оказана государствен</w:t>
      </w:r>
      <w:r>
        <w:rPr>
          <w:lang w:val="ru-RU" w:eastAsia="ru-RU"/>
        </w:rPr>
        <w:t xml:space="preserve">ная (областная) поддержка в приобретение жилья с помощью жилищный (ипотечных) кредитов (займов) отдельным категориям граждан.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За 2024 год в Чернянском районе за счет всех источников финансирования построено и сдано в эксплуатацию 72 жилых дома общей площа</w:t>
      </w:r>
      <w:r>
        <w:rPr>
          <w:lang w:val="ru-RU" w:eastAsia="ru-RU"/>
        </w:rPr>
        <w:t>дью 9 646 м2 , что составляет 92,2% к соответствующему периоду прошлого года.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В сельской местности введено 4 728 м2 жилья, что составляет 49% </w:t>
      </w:r>
      <w:r>
        <w:rPr>
          <w:lang w:val="ru-RU" w:eastAsia="ru-RU"/>
        </w:rPr>
        <w:br/>
        <w:t>от общего ввода по району, в городской местности введено 4 918 м2 жилья или 51% от общего ввода по району.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За  20</w:t>
      </w:r>
      <w:r>
        <w:rPr>
          <w:lang w:val="ru-RU" w:eastAsia="ru-RU"/>
        </w:rPr>
        <w:t>24 год населением за счет собственных и заемных средств построено и сдано в эксплуатацию 67 домов, общей площадью 9 395 м2, что составляет 91,7% к соответствующему периоду прошлого года.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Ввод жилья по Чернянскому району в отчетном периоде составляет 1,1% к</w:t>
      </w:r>
      <w:r>
        <w:rPr>
          <w:lang w:val="ru-RU" w:eastAsia="ru-RU"/>
        </w:rPr>
        <w:t xml:space="preserve"> общему объему введенного жилья в области. </w:t>
      </w:r>
    </w:p>
    <w:p w:rsidR="000D61D2" w:rsidRDefault="000D61D2">
      <w:pPr>
        <w:spacing w:after="0" w:line="235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61D2" w:rsidRDefault="001A00CF">
      <w:pPr>
        <w:spacing w:after="0" w:line="235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Показатель № 25.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«Площадь земельных участков,  предоставленных для строительства, в расчете </w:t>
      </w:r>
    </w:p>
    <w:p w:rsidR="000D61D2" w:rsidRDefault="001A00CF">
      <w:pPr>
        <w:spacing w:after="0" w:line="235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10 тыс. человек населения»</w:t>
      </w:r>
    </w:p>
    <w:p w:rsidR="000D61D2" w:rsidRDefault="000D61D2">
      <w:pPr>
        <w:spacing w:after="0" w:line="235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Показатель площади земельных участков, предоставленных для строительства, в расчете на </w:t>
      </w:r>
      <w:r>
        <w:rPr>
          <w:lang w:val="ru-RU" w:eastAsia="ru-RU"/>
        </w:rPr>
        <w:t>10 тыс. человек населения составляет  4,45 га, что на уровне прошлого года.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/>
        </w:rPr>
      </w:pPr>
      <w:r>
        <w:rPr>
          <w:lang w:val="ru-RU" w:eastAsia="ru-RU"/>
        </w:rPr>
        <w:lastRenderedPageBreak/>
        <w:t xml:space="preserve">В плановом периоде планируется предоставление участков </w:t>
      </w:r>
      <w:r>
        <w:rPr>
          <w:lang w:val="ru-RU" w:eastAsia="ru-RU"/>
        </w:rPr>
        <w:br/>
        <w:t>в соответствии с заявленной потребностью.</w:t>
      </w:r>
    </w:p>
    <w:p w:rsidR="000D61D2" w:rsidRDefault="000D61D2">
      <w:pPr>
        <w:spacing w:after="0" w:line="235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spacing w:after="0" w:line="235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Показатель № 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«Площадь земельных участков, предоставленных для строительства,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эксплуатацию»</w:t>
      </w:r>
    </w:p>
    <w:p w:rsidR="000D61D2" w:rsidRDefault="000D61D2">
      <w:pPr>
        <w:pStyle w:val="12"/>
        <w:spacing w:line="235" w:lineRule="auto"/>
        <w:ind w:firstLine="720"/>
        <w:contextualSpacing/>
        <w:jc w:val="both"/>
        <w:rPr>
          <w:lang w:val="ru-RU" w:eastAsia="ru-RU"/>
        </w:rPr>
      </w:pP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В районе нет площадей земельных участков, предоставлен</w:t>
      </w:r>
      <w:r>
        <w:rPr>
          <w:lang w:val="ru-RU" w:eastAsia="ru-RU"/>
        </w:rPr>
        <w:t xml:space="preserve">ных </w:t>
      </w:r>
      <w:r>
        <w:rPr>
          <w:lang w:val="ru-RU" w:eastAsia="ru-RU"/>
        </w:rPr>
        <w:br/>
        <w:t xml:space="preserve">для строительства, в отношении которых с даты принятия решения </w:t>
      </w:r>
      <w:r>
        <w:rPr>
          <w:lang w:val="ru-RU" w:eastAsia="ru-RU"/>
        </w:rPr>
        <w:br/>
        <w:t xml:space="preserve">о предоставлении земельного участка или подписания протокола </w:t>
      </w:r>
      <w:r>
        <w:rPr>
          <w:lang w:val="ru-RU" w:eastAsia="ru-RU"/>
        </w:rPr>
        <w:br/>
        <w:t>о результатах торгов (конкурсов, аукционов) не было получено разрешение на ввод в эксплуатацию, ни по объектам жилищного стро</w:t>
      </w:r>
      <w:r>
        <w:rPr>
          <w:lang w:val="ru-RU" w:eastAsia="ru-RU"/>
        </w:rPr>
        <w:t>ительства, ни по объектам капитального строительства.</w:t>
      </w:r>
    </w:p>
    <w:p w:rsidR="000D61D2" w:rsidRDefault="000D61D2">
      <w:pPr>
        <w:spacing w:after="0" w:line="235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3.7. Анализ сферы</w:t>
      </w:r>
    </w:p>
    <w:p w:rsidR="000D61D2" w:rsidRDefault="001A00CF">
      <w:pPr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Жилищно-коммунальное хозяйство»</w:t>
      </w:r>
    </w:p>
    <w:p w:rsidR="000D61D2" w:rsidRDefault="000D61D2">
      <w:pPr>
        <w:pStyle w:val="12"/>
        <w:spacing w:line="235" w:lineRule="auto"/>
        <w:ind w:firstLine="720"/>
        <w:contextualSpacing/>
        <w:jc w:val="both"/>
        <w:rPr>
          <w:lang w:val="ru-RU" w:eastAsia="ru-RU"/>
        </w:rPr>
      </w:pP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Развитие жилищно-коммунального хозяйства района проходит </w:t>
      </w:r>
      <w:r>
        <w:rPr>
          <w:lang w:val="ru-RU" w:eastAsia="ru-RU"/>
        </w:rPr>
        <w:br/>
        <w:t>в рамках подпрограммы «Обеспечение населения коммунальными услугами»</w:t>
      </w:r>
      <w:r>
        <w:rPr>
          <w:lang w:val="ru-RU" w:eastAsia="ru-RU"/>
        </w:rPr>
        <w:t xml:space="preserve"> муниципальной программы «Обеспечение комфортным </w:t>
      </w:r>
      <w:r>
        <w:rPr>
          <w:lang w:val="ru-RU" w:eastAsia="ru-RU"/>
        </w:rPr>
        <w:br/>
        <w:t>и доступным жильем, коммунальными услугами жителей Чернянского района Белгородской области» и подпрограммы «Благоустройство дворовых территорий многоквартирных домов, общественных и иных территорий соответс</w:t>
      </w:r>
      <w:r>
        <w:rPr>
          <w:lang w:val="ru-RU" w:eastAsia="ru-RU"/>
        </w:rPr>
        <w:t xml:space="preserve">твующего функционального назначения Чернянского района» муниципальной программы «Формирование современной городской среды на территории Чернянского района».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В 2024 году в районе реализовывалась адресная программа капитального ремонта многоквартирных домов</w:t>
      </w:r>
      <w:r>
        <w:rPr>
          <w:lang w:val="ru-RU" w:eastAsia="ru-RU"/>
        </w:rPr>
        <w:t xml:space="preserve"> Белгородской области. </w:t>
      </w:r>
    </w:p>
    <w:p w:rsidR="000D61D2" w:rsidRDefault="000D61D2">
      <w:pPr>
        <w:pStyle w:val="12"/>
        <w:spacing w:line="235" w:lineRule="auto"/>
        <w:ind w:firstLine="720"/>
        <w:contextualSpacing/>
        <w:jc w:val="both"/>
        <w:rPr>
          <w:lang w:val="ru-RU" w:eastAsia="ru-RU"/>
        </w:rPr>
      </w:pPr>
    </w:p>
    <w:p w:rsidR="000D61D2" w:rsidRDefault="000D61D2">
      <w:pPr>
        <w:pStyle w:val="12"/>
        <w:spacing w:line="235" w:lineRule="auto"/>
        <w:ind w:firstLine="720"/>
        <w:contextualSpacing/>
        <w:jc w:val="both"/>
        <w:rPr>
          <w:lang w:val="ru-RU" w:eastAsia="ru-RU"/>
        </w:rPr>
      </w:pP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В программу было включено 4 объекта, общей стоимостью                               10,82 млн рублей, в том числе: п. Чернянка, ул. Орджоникидзе, д. 5а; </w:t>
      </w:r>
      <w:r>
        <w:rPr>
          <w:lang w:val="ru-RU" w:eastAsia="ru-RU"/>
        </w:rPr>
        <w:br/>
        <w:t>п. Чернянка, ул. Орджоникидзе, д. 13; п. Чернянка, ул. Ленина, д. 98 а; п.Ч</w:t>
      </w:r>
      <w:r>
        <w:rPr>
          <w:lang w:val="ru-RU" w:eastAsia="ru-RU"/>
        </w:rPr>
        <w:t>ернянка, ул. Школьная, д. 12.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За 2024 год было обустроена научная детская площадка в сквере </w:t>
      </w:r>
      <w:r>
        <w:rPr>
          <w:lang w:val="ru-RU" w:eastAsia="ru-RU"/>
        </w:rPr>
        <w:br/>
        <w:t>у памятника «Скорбящая мать» п. Чернянка (5,94 млн рублей).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В рамках инициативного бюджетирования в 2024 году благоустроено 6 проектов: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Благоустройство парковой зо</w:t>
      </w:r>
      <w:r>
        <w:rPr>
          <w:lang w:val="ru-RU" w:eastAsia="ru-RU"/>
        </w:rPr>
        <w:t xml:space="preserve">ны в с. Русская Халань – </w:t>
      </w:r>
      <w:r>
        <w:rPr>
          <w:lang w:val="ru-RU" w:eastAsia="ru-RU"/>
        </w:rPr>
        <w:br/>
        <w:t>2,8 млн рублей.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Благоустройство центрального парка с обустройством детской игровой площадки в с. Волотово –  2,422 млн рублей.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Обеспечение безопасности пешеходов в с. Малотроицкое (строительство тротуара ул. Новая и  ул. Садовая) </w:t>
      </w:r>
      <w:r>
        <w:rPr>
          <w:lang w:val="ru-RU" w:eastAsia="ru-RU"/>
        </w:rPr>
        <w:t>– 3,415 млн рублей.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lastRenderedPageBreak/>
        <w:t xml:space="preserve">Благоустройство пешеходного и велосипедного туристского маршрута выходного дня «Реликтовые сосны» в п. Чернянка – </w:t>
      </w:r>
      <w:r>
        <w:rPr>
          <w:lang w:val="ru-RU" w:eastAsia="ru-RU"/>
        </w:rPr>
        <w:br/>
        <w:t>1,935 млн рублей.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b/>
          <w:bCs/>
          <w:sz w:val="27"/>
          <w:szCs w:val="27"/>
          <w:lang w:val="ru-RU" w:eastAsia="ru-RU"/>
        </w:rPr>
      </w:pPr>
      <w:r>
        <w:rPr>
          <w:lang w:val="ru-RU" w:eastAsia="ru-RU"/>
        </w:rPr>
        <w:t>«Со спортом в будущее» (создание условий для развития массового спорта в с. Захарово) – 2,85 млн рублей</w:t>
      </w:r>
      <w:r>
        <w:rPr>
          <w:lang w:val="ru-RU" w:eastAsia="ru-RU"/>
        </w:rPr>
        <w:t>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b/>
          <w:bCs/>
          <w:sz w:val="27"/>
          <w:szCs w:val="27"/>
          <w:lang w:val="ru-RU" w:eastAsia="ru-RU"/>
        </w:rPr>
      </w:pPr>
      <w:r>
        <w:rPr>
          <w:lang w:val="ru-RU" w:eastAsia="ru-RU"/>
        </w:rPr>
        <w:t>Благоустройство детской площадки мкр-н «Запесок» в п. Чернянка – 2,389 млн рублей.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Работа в рамках муниципальных программ будет продолжена </w:t>
      </w:r>
      <w:r>
        <w:rPr>
          <w:lang w:val="ru-RU" w:eastAsia="ru-RU"/>
        </w:rPr>
        <w:br/>
        <w:t>в плановом периоде.</w:t>
      </w:r>
    </w:p>
    <w:p w:rsidR="000D61D2" w:rsidRDefault="000D61D2">
      <w:pPr>
        <w:pStyle w:val="12"/>
        <w:spacing w:line="235" w:lineRule="auto"/>
        <w:ind w:firstLine="720"/>
        <w:contextualSpacing/>
        <w:jc w:val="both"/>
        <w:rPr>
          <w:lang w:val="ru-RU"/>
        </w:rPr>
      </w:pPr>
    </w:p>
    <w:p w:rsidR="000D61D2" w:rsidRDefault="001A00CF">
      <w:pPr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Показатель № 27.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«Доля многоквартирных домов,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 которых собственники помещений выбрали и реа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лизуют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один из способов управления многоквартирными домами,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в общем числе многоквартирных домов, в которых собственники помещений должны выбрать способ управления данными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домами на территории муниципального района»</w:t>
      </w:r>
    </w:p>
    <w:p w:rsidR="000D61D2" w:rsidRDefault="000D61D2">
      <w:pPr>
        <w:pStyle w:val="12"/>
        <w:spacing w:line="235" w:lineRule="auto"/>
        <w:ind w:firstLine="720"/>
        <w:contextualSpacing/>
        <w:jc w:val="both"/>
        <w:rPr>
          <w:color w:val="000000" w:themeColor="text1"/>
          <w:szCs w:val="28"/>
          <w:highlight w:val="white"/>
          <w:lang w:val="ru-RU"/>
        </w:rPr>
      </w:pP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По состоянию на 31 декабря 2024 года на территории Чернянского района расположено 69 многоквартирных домов. Доля многоквартирных домов, в которых собственники помещений выбрали и реализуют один </w:t>
      </w:r>
      <w:r>
        <w:rPr>
          <w:lang w:val="ru-RU" w:eastAsia="ru-RU"/>
        </w:rPr>
        <w:br/>
        <w:t>из способов управления многоквартирными домами, в общем числе</w:t>
      </w:r>
      <w:r>
        <w:rPr>
          <w:lang w:val="ru-RU" w:eastAsia="ru-RU"/>
        </w:rPr>
        <w:t xml:space="preserve"> многоквартирных домов, в которых собственники помещений должны выбрать способ управления данными домами  на территории муниципального района составляет 100% .</w:t>
      </w:r>
    </w:p>
    <w:p w:rsidR="000D61D2" w:rsidRDefault="000D61D2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</w:p>
    <w:p w:rsidR="000D61D2" w:rsidRDefault="001A00CF">
      <w:pPr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Показатель № 28. «Доля организаций коммунального комплекса, осуществляющих производство товаров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ссии, участие субъекта Российской Федерации и Чернянского района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 района»</w:t>
      </w:r>
    </w:p>
    <w:p w:rsidR="000D61D2" w:rsidRDefault="000D61D2">
      <w:pPr>
        <w:pStyle w:val="12"/>
        <w:spacing w:line="235" w:lineRule="auto"/>
        <w:ind w:firstLine="720"/>
        <w:contextualSpacing/>
        <w:jc w:val="both"/>
        <w:rPr>
          <w:lang w:val="ru-RU"/>
        </w:rPr>
      </w:pP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Значени</w:t>
      </w:r>
      <w:r>
        <w:rPr>
          <w:lang w:val="ru-RU" w:eastAsia="ru-RU"/>
        </w:rPr>
        <w:t xml:space="preserve">е показателя осталось на уровне предыдущих периодов, </w:t>
      </w:r>
      <w:r>
        <w:rPr>
          <w:lang w:val="ru-RU" w:eastAsia="ru-RU"/>
        </w:rPr>
        <w:br/>
        <w:t xml:space="preserve">и составило 81,25% . В перспективе 2025-2027 годов изменение показателя не планируется. </w:t>
      </w:r>
    </w:p>
    <w:p w:rsidR="000D61D2" w:rsidRDefault="000D61D2">
      <w:pPr>
        <w:spacing w:after="0" w:line="235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 № 29. «Доля многоквартирных домов,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расположенных на участках, в отношении которых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осуществлен госуд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арственный кадастровый учет»</w:t>
      </w:r>
    </w:p>
    <w:p w:rsidR="000D61D2" w:rsidRDefault="000D61D2">
      <w:pPr>
        <w:spacing w:after="0" w:line="235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Все многоквартирные дома расположены на участках, в отношении которых осуществлен государственный кадастровый учет.</w:t>
      </w:r>
    </w:p>
    <w:p w:rsidR="000D61D2" w:rsidRDefault="001A00CF">
      <w:pPr>
        <w:spacing w:after="0" w:line="22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Показатель № 30. «Доля населения, получившего жилые помещения </w:t>
      </w:r>
    </w:p>
    <w:p w:rsidR="000D61D2" w:rsidRDefault="001A00CF">
      <w:pPr>
        <w:spacing w:after="0" w:line="22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улучшившего жилищные условия в отчетном году, в общей численности населения, состоящего на учете в качестве нуждающегося в жилых помещениях» </w:t>
      </w:r>
    </w:p>
    <w:p w:rsidR="000D61D2" w:rsidRDefault="000D61D2">
      <w:pPr>
        <w:spacing w:after="0" w:line="226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pStyle w:val="12"/>
        <w:spacing w:line="226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Целевой показатель исполнен. За 2024 год в Чернянском районе </w:t>
      </w:r>
      <w:r>
        <w:rPr>
          <w:lang w:val="ru-RU" w:eastAsia="ru-RU"/>
        </w:rPr>
        <w:br/>
        <w:t xml:space="preserve">за счет всех источников финансирования построено </w:t>
      </w:r>
      <w:r>
        <w:rPr>
          <w:lang w:val="ru-RU" w:eastAsia="ru-RU"/>
        </w:rPr>
        <w:t xml:space="preserve">и сдано </w:t>
      </w:r>
      <w:r>
        <w:rPr>
          <w:lang w:val="ru-RU" w:eastAsia="ru-RU"/>
        </w:rPr>
        <w:br/>
        <w:t>в эксплуатацию 72 жилых дома общей площадью 9 646 м2, что составляет 92,2% к соответствующему периоду прошлого года.</w:t>
      </w:r>
    </w:p>
    <w:p w:rsidR="000D61D2" w:rsidRDefault="000D61D2">
      <w:pPr>
        <w:spacing w:after="0" w:line="226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spacing w:after="0" w:line="22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3.8. Анализ сферы «Организация муниципального управления»</w:t>
      </w:r>
    </w:p>
    <w:p w:rsidR="000D61D2" w:rsidRDefault="000D61D2">
      <w:pPr>
        <w:pStyle w:val="12"/>
        <w:spacing w:line="226" w:lineRule="auto"/>
        <w:ind w:firstLine="720"/>
        <w:contextualSpacing/>
        <w:jc w:val="both"/>
        <w:rPr>
          <w:lang w:val="ru-RU" w:eastAsia="ru-RU"/>
        </w:rPr>
      </w:pPr>
    </w:p>
    <w:p w:rsidR="000D61D2" w:rsidRDefault="001A00CF">
      <w:pPr>
        <w:pStyle w:val="12"/>
        <w:spacing w:line="226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Показатели деятельности района в сфере организации муниципального упра</w:t>
      </w:r>
      <w:r>
        <w:rPr>
          <w:lang w:val="ru-RU" w:eastAsia="ru-RU"/>
        </w:rPr>
        <w:t>вления в целом свидетельствуют об эффективности работы.</w:t>
      </w:r>
    </w:p>
    <w:p w:rsidR="000D61D2" w:rsidRDefault="001A00CF">
      <w:pPr>
        <w:pStyle w:val="12"/>
        <w:spacing w:line="226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В 2024 году успешно реализовывались муниципальные программы, которые способствуют улучшению показателей эффективности муниципального управления:</w:t>
      </w:r>
    </w:p>
    <w:p w:rsidR="000D61D2" w:rsidRDefault="001A00CF">
      <w:pPr>
        <w:pStyle w:val="12"/>
        <w:spacing w:line="226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- Развитие общественного самоуправления на территории м</w:t>
      </w:r>
      <w:r>
        <w:rPr>
          <w:lang w:val="ru-RU" w:eastAsia="ru-RU"/>
        </w:rPr>
        <w:t>униципального района «Чернянский район» Белгородской области;</w:t>
      </w:r>
    </w:p>
    <w:p w:rsidR="000D61D2" w:rsidRDefault="001A00CF">
      <w:pPr>
        <w:pStyle w:val="12"/>
        <w:spacing w:line="226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- Развитие кадровой политики Чернянского района Белгородской области.</w:t>
      </w:r>
    </w:p>
    <w:p w:rsidR="000D61D2" w:rsidRDefault="001A00CF">
      <w:pPr>
        <w:pStyle w:val="12"/>
        <w:spacing w:line="226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В соответствии с постановлением администрации муниципального района «Чернянский район» от 22 декабря 2022 года № 860 «О мера</w:t>
      </w:r>
      <w:r>
        <w:rPr>
          <w:lang w:val="ru-RU" w:eastAsia="ru-RU"/>
        </w:rPr>
        <w:t xml:space="preserve">х </w:t>
      </w:r>
      <w:r>
        <w:rPr>
          <w:lang w:val="ru-RU" w:eastAsia="ru-RU"/>
        </w:rPr>
        <w:br/>
        <w:t xml:space="preserve">по повышению эффективности управления муниципальными финансами Чернянского района Белгородской области на период до 2026 года», </w:t>
      </w:r>
      <w:r>
        <w:rPr>
          <w:lang w:val="ru-RU" w:eastAsia="ru-RU"/>
        </w:rPr>
        <w:br/>
        <w:t>а также согласно мероприятиям по оздоровлению муниципальных финансов основными показателями плана деятельности администрации</w:t>
      </w:r>
      <w:r>
        <w:rPr>
          <w:lang w:val="ru-RU" w:eastAsia="ru-RU"/>
        </w:rPr>
        <w:t xml:space="preserve"> района осуществляются исчерпывающие меры по:</w:t>
      </w:r>
    </w:p>
    <w:p w:rsidR="000D61D2" w:rsidRDefault="001A00CF">
      <w:pPr>
        <w:pStyle w:val="12"/>
        <w:spacing w:line="226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- увеличению поступлений налоговых и неналоговых доходов </w:t>
      </w:r>
      <w:r>
        <w:rPr>
          <w:lang w:val="ru-RU" w:eastAsia="ru-RU"/>
        </w:rPr>
        <w:br/>
        <w:t>в консолидированный бюджет района;</w:t>
      </w:r>
    </w:p>
    <w:p w:rsidR="000D61D2" w:rsidRDefault="001A00CF">
      <w:pPr>
        <w:pStyle w:val="12"/>
        <w:spacing w:line="226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- оптимизации расходов бюджета;</w:t>
      </w:r>
    </w:p>
    <w:p w:rsidR="000D61D2" w:rsidRDefault="001A00CF">
      <w:pPr>
        <w:pStyle w:val="12"/>
        <w:spacing w:line="226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- сокращению муниципального долга и совершенствованию долговой политики.</w:t>
      </w:r>
    </w:p>
    <w:p w:rsidR="000D61D2" w:rsidRDefault="001A00CF">
      <w:pPr>
        <w:pStyle w:val="12"/>
        <w:spacing w:line="226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За 2024 год </w:t>
      </w:r>
      <w:r>
        <w:rPr>
          <w:lang w:val="ru-RU" w:eastAsia="ru-RU"/>
        </w:rPr>
        <w:t>проведено 31 заседание комиссии по противодействию нелегальным трудовым отношениям и по обеспечению повышения уровня заработной платы Координационного Совета при главе администрации Чернянского района по обеспечению роста заработной платы работникам предпр</w:t>
      </w:r>
      <w:r>
        <w:rPr>
          <w:lang w:val="ru-RU" w:eastAsia="ru-RU"/>
        </w:rPr>
        <w:t>иятий всех форм собственности.</w:t>
      </w:r>
    </w:p>
    <w:p w:rsidR="000D61D2" w:rsidRDefault="000D61D2">
      <w:pPr>
        <w:pStyle w:val="12"/>
        <w:spacing w:line="226" w:lineRule="auto"/>
        <w:ind w:firstLine="720"/>
        <w:contextualSpacing/>
        <w:jc w:val="both"/>
        <w:rPr>
          <w:lang w:val="ru-RU" w:eastAsia="ru-RU"/>
        </w:rPr>
      </w:pPr>
    </w:p>
    <w:p w:rsidR="000D61D2" w:rsidRDefault="001A00CF">
      <w:pPr>
        <w:spacing w:after="0" w:line="22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Показатель № 31. «Доля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ания </w:t>
      </w:r>
    </w:p>
    <w:p w:rsidR="000D61D2" w:rsidRDefault="001A00CF">
      <w:pPr>
        <w:spacing w:after="0" w:line="22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(без учета субвенций)»</w:t>
      </w:r>
    </w:p>
    <w:p w:rsidR="000D61D2" w:rsidRDefault="000D61D2">
      <w:pPr>
        <w:spacing w:after="0" w:line="226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pStyle w:val="12"/>
        <w:spacing w:line="226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Объем собственных налоговых и неналоговых доходов бюджета района за 2024 года составил 827,6 млн рублей.</w:t>
      </w:r>
    </w:p>
    <w:p w:rsidR="000D61D2" w:rsidRDefault="001A00CF">
      <w:pPr>
        <w:pStyle w:val="12"/>
        <w:spacing w:line="228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lastRenderedPageBreak/>
        <w:t>Основными источниками наполнения местного бюджета в отчетном периоде являются следующие источники доходов:</w:t>
      </w:r>
    </w:p>
    <w:p w:rsidR="000D61D2" w:rsidRDefault="001A00CF">
      <w:pPr>
        <w:pStyle w:val="12"/>
        <w:spacing w:line="228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- налог на дох</w:t>
      </w:r>
      <w:r>
        <w:rPr>
          <w:lang w:val="ru-RU" w:eastAsia="ru-RU"/>
        </w:rPr>
        <w:t xml:space="preserve">оды физических лиц – 628 729 тыс. руб., или 76% </w:t>
      </w:r>
      <w:r>
        <w:rPr>
          <w:lang w:val="ru-RU" w:eastAsia="ru-RU"/>
        </w:rPr>
        <w:br/>
        <w:t>от общей массы собственных налоговых и неналоговых доходов;</w:t>
      </w:r>
    </w:p>
    <w:p w:rsidR="000D61D2" w:rsidRDefault="001A00CF">
      <w:pPr>
        <w:pStyle w:val="12"/>
        <w:spacing w:line="228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- доходы от использования имущества, находящегося </w:t>
      </w:r>
      <w:r>
        <w:rPr>
          <w:lang w:val="ru-RU" w:eastAsia="ru-RU"/>
        </w:rPr>
        <w:br/>
        <w:t>в государственной или муниципальной собственности – 67 683 тыс. руб. (8,2%);</w:t>
      </w:r>
    </w:p>
    <w:p w:rsidR="000D61D2" w:rsidRDefault="001A00CF">
      <w:pPr>
        <w:pStyle w:val="12"/>
        <w:spacing w:line="228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- земельный налог – 47 439 тыс. руб. (5,7%);</w:t>
      </w:r>
    </w:p>
    <w:p w:rsidR="000D61D2" w:rsidRDefault="001A00CF">
      <w:pPr>
        <w:pStyle w:val="12"/>
        <w:spacing w:line="228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- акцизы по подакцизным товарам (продукции производимой </w:t>
      </w:r>
      <w:r>
        <w:rPr>
          <w:lang w:val="ru-RU" w:eastAsia="ru-RU"/>
        </w:rPr>
        <w:br/>
        <w:t>на территории РФ) – 22 353 тыс. руб. (2,7%).</w:t>
      </w:r>
    </w:p>
    <w:p w:rsidR="000D61D2" w:rsidRDefault="001A00CF">
      <w:pPr>
        <w:pStyle w:val="12"/>
        <w:spacing w:line="228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Объем расходов бюджета района за 2024 года составил </w:t>
      </w:r>
      <w:r>
        <w:rPr>
          <w:lang w:val="ru-RU" w:eastAsia="ru-RU"/>
        </w:rPr>
        <w:br/>
        <w:t>2 263,5 млн рублей.</w:t>
      </w:r>
    </w:p>
    <w:p w:rsidR="000D61D2" w:rsidRDefault="001A00CF">
      <w:pPr>
        <w:pStyle w:val="12"/>
        <w:spacing w:line="228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Основными статьями исполнения расходной части консолидированного бюджета за 2024 год являются социально-значимые расходы:</w:t>
      </w:r>
    </w:p>
    <w:p w:rsidR="000D61D2" w:rsidRDefault="001A00CF">
      <w:pPr>
        <w:pStyle w:val="12"/>
        <w:spacing w:line="228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- заработная плата и начисления на заработную плату </w:t>
      </w:r>
      <w:r>
        <w:rPr>
          <w:lang w:val="ru-RU" w:eastAsia="ru-RU"/>
        </w:rPr>
        <w:br/>
        <w:t>1 260 283  тыс. руб., или 55,7% от общей суммы расходов;</w:t>
      </w:r>
    </w:p>
    <w:p w:rsidR="000D61D2" w:rsidRDefault="001A00CF">
      <w:pPr>
        <w:pStyle w:val="12"/>
        <w:spacing w:line="228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- коммунальные услуги – </w:t>
      </w:r>
      <w:r>
        <w:rPr>
          <w:lang w:val="ru-RU" w:eastAsia="ru-RU"/>
        </w:rPr>
        <w:t>97 900 тыс. руб. (4,3%);</w:t>
      </w:r>
    </w:p>
    <w:p w:rsidR="000D61D2" w:rsidRDefault="001A00CF">
      <w:pPr>
        <w:pStyle w:val="12"/>
        <w:spacing w:line="228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- социальное обеспечение – 179 834 тыс. руб. (7,9%).</w:t>
      </w:r>
    </w:p>
    <w:p w:rsidR="000D61D2" w:rsidRDefault="001A00CF">
      <w:pPr>
        <w:pStyle w:val="12"/>
        <w:spacing w:line="228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Доля собственных налоговых и неналоговых доходов бюджета района в расходах бюджета района в текущем периоде составила 36,6%.</w:t>
      </w:r>
    </w:p>
    <w:p w:rsidR="000D61D2" w:rsidRDefault="001A00CF">
      <w:pPr>
        <w:pStyle w:val="12"/>
        <w:spacing w:line="228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В районе проводится работа с юридическими лицами </w:t>
      </w:r>
      <w:r>
        <w:rPr>
          <w:lang w:val="ru-RU" w:eastAsia="ru-RU"/>
        </w:rPr>
        <w:br/>
        <w:t>и и</w:t>
      </w:r>
      <w:r>
        <w:rPr>
          <w:lang w:val="ru-RU" w:eastAsia="ru-RU"/>
        </w:rPr>
        <w:t xml:space="preserve">ндивидуальными предпринимателями, применяющими специальные режимы налогообложения. </w:t>
      </w:r>
    </w:p>
    <w:p w:rsidR="000D61D2" w:rsidRDefault="001A00CF">
      <w:pPr>
        <w:pStyle w:val="12"/>
        <w:spacing w:line="228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Юридические лица и индивидуальные предприниматели, у которых налоговая нагрузка не соответствует утвержденному нормативу, рассматриваются на заседаниях межведомственной ком</w:t>
      </w:r>
      <w:r>
        <w:rPr>
          <w:lang w:val="ru-RU" w:eastAsia="ru-RU"/>
        </w:rPr>
        <w:t xml:space="preserve">иссии </w:t>
      </w:r>
      <w:r>
        <w:rPr>
          <w:lang w:val="ru-RU" w:eastAsia="ru-RU"/>
        </w:rPr>
        <w:br/>
        <w:t>по мониторингу налоговой нагрузки с объяснением причин данного факта.     С руководителями малых предприятий и индивидуальными предпринимателями достигается договоренность по увеличению налогооблагаемой базы и повышению уровня налоговой нагрузки.</w:t>
      </w:r>
    </w:p>
    <w:p w:rsidR="000D61D2" w:rsidRDefault="000D61D2">
      <w:pPr>
        <w:pStyle w:val="a4"/>
        <w:spacing w:line="228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1D2" w:rsidRDefault="001A00CF">
      <w:pPr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оказатель № 32.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«Доля основных фондов организаций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муниципальной собственности, находящихся в стадии банкротства,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в основных фондах организаций муниципальной формы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собственности (на конец года, по полной учетной стоимости)»</w:t>
      </w:r>
    </w:p>
    <w:p w:rsidR="000D61D2" w:rsidRDefault="000D61D2">
      <w:pPr>
        <w:spacing w:after="0" w:line="228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pStyle w:val="12"/>
        <w:spacing w:line="228" w:lineRule="auto"/>
        <w:ind w:firstLine="720"/>
        <w:contextualSpacing/>
        <w:jc w:val="both"/>
        <w:rPr>
          <w:lang w:val="ru-RU" w:eastAsia="ru-RU"/>
        </w:rPr>
      </w:pPr>
      <w:r>
        <w:rPr>
          <w:lang w:val="ru-RU" w:eastAsia="ru-RU"/>
        </w:rPr>
        <w:t>В 2024 году организации муниц</w:t>
      </w:r>
      <w:r>
        <w:rPr>
          <w:lang w:val="ru-RU" w:eastAsia="ru-RU"/>
        </w:rPr>
        <w:t xml:space="preserve">ипальной формы собственности, находящиеся в стадии банкротства на территории района отсутствовали. </w:t>
      </w:r>
    </w:p>
    <w:p w:rsidR="000D61D2" w:rsidRDefault="000D61D2">
      <w:pPr>
        <w:pStyle w:val="12"/>
        <w:spacing w:line="228" w:lineRule="auto"/>
        <w:ind w:firstLine="720"/>
        <w:contextualSpacing/>
        <w:jc w:val="both"/>
        <w:rPr>
          <w:lang w:val="ru-RU" w:eastAsia="ru-RU"/>
        </w:rPr>
      </w:pPr>
    </w:p>
    <w:p w:rsidR="000D61D2" w:rsidRDefault="001A00CF">
      <w:pPr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Показатель № 33. «Объем не завершенного в установленные сроки строительства, осуществляемого за счет средств бюджета городского округа (муниципального райо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на)»</w:t>
      </w:r>
    </w:p>
    <w:p w:rsidR="000D61D2" w:rsidRDefault="000D61D2">
      <w:pPr>
        <w:spacing w:after="0" w:line="228" w:lineRule="auto"/>
        <w:ind w:firstLine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pStyle w:val="12"/>
        <w:spacing w:line="228" w:lineRule="auto"/>
        <w:ind w:firstLine="720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Не завершенное в установленные сроки строительство, осуществляемое за счет средств бюджета муниципального района </w:t>
      </w:r>
    </w:p>
    <w:p w:rsidR="000D61D2" w:rsidRDefault="001A00CF">
      <w:pPr>
        <w:pStyle w:val="12"/>
        <w:spacing w:line="228" w:lineRule="auto"/>
        <w:ind w:firstLine="720"/>
        <w:contextualSpacing/>
        <w:jc w:val="both"/>
        <w:rPr>
          <w:b/>
          <w:szCs w:val="28"/>
          <w:lang w:val="ru-RU" w:eastAsia="ru-RU"/>
        </w:rPr>
      </w:pPr>
      <w:r>
        <w:rPr>
          <w:lang w:val="ru-RU" w:eastAsia="ru-RU"/>
        </w:rPr>
        <w:t>по состоянию на 31.12.2024 отсутствует</w:t>
      </w:r>
      <w:r>
        <w:rPr>
          <w:szCs w:val="28"/>
          <w:lang w:val="ru-RU" w:eastAsia="ru-RU"/>
        </w:rPr>
        <w:t>.</w:t>
      </w:r>
    </w:p>
    <w:p w:rsidR="000D61D2" w:rsidRDefault="001A00CF">
      <w:pPr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Показатель № 34. «Доля просроченной кредиторской задолженности по оплате труда (включая начислен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ия на оплату труда) муниципальных учреждений в общем объеме расходов муниципального образования на оплату труда </w:t>
      </w:r>
    </w:p>
    <w:p w:rsidR="000D61D2" w:rsidRDefault="001A00CF">
      <w:pPr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(включая начисления на оплату труда)</w:t>
      </w:r>
    </w:p>
    <w:p w:rsidR="000D61D2" w:rsidRDefault="000D61D2">
      <w:pPr>
        <w:pStyle w:val="a4"/>
        <w:spacing w:line="228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1D2" w:rsidRDefault="001A00CF">
      <w:pPr>
        <w:pStyle w:val="12"/>
        <w:spacing w:line="228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По состоянию на 31.12.2024 г. муниципальные бюджетные учреждения с просроченной кредиторской задолженностью по оплате труда (включая начисления на оплату труда) на территории района отсутствовали. </w:t>
      </w:r>
    </w:p>
    <w:p w:rsidR="000D61D2" w:rsidRDefault="000D61D2">
      <w:pPr>
        <w:spacing w:after="0" w:line="228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Показатель № 35. «Расходы бюджета муниципального образова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на содержание работников органов местного самоуправления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в расчете на одного жителя муниципального образования»</w:t>
      </w:r>
    </w:p>
    <w:p w:rsidR="000D61D2" w:rsidRDefault="000D61D2">
      <w:pPr>
        <w:pStyle w:val="12"/>
        <w:spacing w:line="228" w:lineRule="auto"/>
        <w:ind w:firstLine="720"/>
        <w:contextualSpacing/>
        <w:jc w:val="both"/>
        <w:rPr>
          <w:lang w:val="ru-RU" w:eastAsia="ru-RU"/>
        </w:rPr>
      </w:pPr>
    </w:p>
    <w:p w:rsidR="000D61D2" w:rsidRDefault="001A00CF">
      <w:pPr>
        <w:pStyle w:val="12"/>
        <w:spacing w:line="228" w:lineRule="auto"/>
        <w:ind w:firstLine="720"/>
        <w:contextualSpacing/>
        <w:jc w:val="both"/>
        <w:rPr>
          <w:lang w:val="ru-RU" w:eastAsia="ru-RU"/>
        </w:rPr>
      </w:pPr>
      <w:r>
        <w:rPr>
          <w:lang w:val="ru-RU" w:eastAsia="ru-RU"/>
        </w:rPr>
        <w:t>Расходы на содержание работников местного самоуправления</w:t>
      </w:r>
      <w:r>
        <w:rPr>
          <w:lang w:val="ru-RU" w:eastAsia="ru-RU"/>
        </w:rPr>
        <w:br/>
        <w:t xml:space="preserve">в расчете на одного жителя  муниципального района увеличились на 4%. Показатель </w:t>
      </w:r>
      <w:r>
        <w:rPr>
          <w:lang w:val="ru-RU" w:eastAsia="ru-RU"/>
        </w:rPr>
        <w:t xml:space="preserve">увеличился в сравнении с прошлым годом за счет уменьшения общей численности населения. Данный показатель сложился за счет соблюдения предельной штатной численности работников ОМСУ согласно распоряжения Губернатора Белгородской области  от 01.11.2023 года  </w:t>
      </w:r>
      <w:r>
        <w:rPr>
          <w:lang w:val="ru-RU" w:eastAsia="ru-RU"/>
        </w:rPr>
        <w:t xml:space="preserve">      № 170-р.</w:t>
      </w:r>
    </w:p>
    <w:p w:rsidR="000D61D2" w:rsidRDefault="001A00CF">
      <w:pPr>
        <w:pStyle w:val="12"/>
        <w:spacing w:line="228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Основными статьями исполнения расходной части консолидированного бюджета за 2024 год являются социально-значимые расходы:</w:t>
      </w:r>
    </w:p>
    <w:p w:rsidR="000D61D2" w:rsidRDefault="001A00CF">
      <w:pPr>
        <w:pStyle w:val="12"/>
        <w:spacing w:line="228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- заработная плата и начисления на заработную плату </w:t>
      </w:r>
      <w:r>
        <w:rPr>
          <w:lang w:val="ru-RU" w:eastAsia="ru-RU"/>
        </w:rPr>
        <w:br/>
        <w:t>1 260 283  тыс. руб., или 55,7% от общей суммы расходов;</w:t>
      </w:r>
    </w:p>
    <w:p w:rsidR="000D61D2" w:rsidRDefault="001A00CF">
      <w:pPr>
        <w:pStyle w:val="12"/>
        <w:spacing w:line="228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- коммуна</w:t>
      </w:r>
      <w:r>
        <w:rPr>
          <w:lang w:val="ru-RU" w:eastAsia="ru-RU"/>
        </w:rPr>
        <w:t>льные услуги – 97 900 тыс. руб. (4,3%);</w:t>
      </w:r>
    </w:p>
    <w:p w:rsidR="000D61D2" w:rsidRDefault="001A00CF">
      <w:pPr>
        <w:pStyle w:val="12"/>
        <w:spacing w:line="228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- социальное обеспечение – 179 834 тыс. руб. (7,9%).</w:t>
      </w:r>
    </w:p>
    <w:p w:rsidR="000D61D2" w:rsidRDefault="000D61D2">
      <w:pPr>
        <w:pStyle w:val="12"/>
        <w:spacing w:line="228" w:lineRule="auto"/>
        <w:ind w:firstLine="720"/>
        <w:contextualSpacing/>
        <w:jc w:val="both"/>
        <w:rPr>
          <w:lang w:val="ru-RU" w:eastAsia="ru-RU"/>
        </w:rPr>
      </w:pPr>
    </w:p>
    <w:p w:rsidR="000D61D2" w:rsidRDefault="001A00CF">
      <w:pPr>
        <w:spacing w:after="0" w:line="228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Показатель № 36. «Наличие в городском округе (муниципальном районе) утвержденного генерального плана городского округа (схемы территориального планирования муници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пального района)» </w:t>
      </w:r>
    </w:p>
    <w:p w:rsidR="000D61D2" w:rsidRDefault="000D61D2">
      <w:pPr>
        <w:spacing w:after="0" w:line="228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0D61D2">
      <w:pPr>
        <w:pStyle w:val="12"/>
        <w:spacing w:line="228" w:lineRule="auto"/>
        <w:ind w:firstLine="720"/>
        <w:contextualSpacing/>
        <w:jc w:val="both"/>
        <w:rPr>
          <w:b/>
          <w:szCs w:val="28"/>
          <w:lang w:val="ru-RU" w:eastAsia="ru-RU"/>
        </w:rPr>
      </w:pPr>
    </w:p>
    <w:p w:rsidR="000D61D2" w:rsidRDefault="001A00CF">
      <w:pPr>
        <w:pStyle w:val="12"/>
        <w:spacing w:line="228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Генеральный план Муниципального района «Чернянский район» утвержден решением двадцатой сессии Муниципального Совета </w:t>
      </w:r>
      <w:r>
        <w:rPr>
          <w:lang w:val="ru-RU" w:eastAsia="ru-RU"/>
        </w:rPr>
        <w:br/>
        <w:t>от 14 декабря 2009 года №262 «Об утверждении схемы территориального планирования Чернянского района». Кроме этого, утв</w:t>
      </w:r>
      <w:r>
        <w:rPr>
          <w:lang w:val="ru-RU" w:eastAsia="ru-RU"/>
        </w:rPr>
        <w:t>ерждены генеральные планы 15 сельских поселений и городского поселения п.Чернянка.</w:t>
      </w:r>
    </w:p>
    <w:p w:rsidR="000D61D2" w:rsidRDefault="000D61D2">
      <w:pPr>
        <w:spacing w:after="0" w:line="228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spacing w:after="0" w:line="228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 № 37. «Удовлетворенность населения деятельностью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органов местного самоуправления муниципального района»</w:t>
      </w:r>
    </w:p>
    <w:p w:rsidR="000D61D2" w:rsidRDefault="000D61D2">
      <w:pPr>
        <w:spacing w:after="0" w:line="228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pStyle w:val="12"/>
        <w:spacing w:line="228" w:lineRule="auto"/>
        <w:ind w:firstLine="720"/>
        <w:contextualSpacing/>
        <w:jc w:val="both"/>
        <w:rPr>
          <w:szCs w:val="28"/>
          <w:u w:val="single"/>
          <w:lang w:val="ru-RU" w:eastAsia="ru-RU"/>
        </w:rPr>
      </w:pPr>
      <w:r>
        <w:rPr>
          <w:lang w:val="ru-RU" w:eastAsia="ru-RU"/>
        </w:rPr>
        <w:t>В 2024 году удовлетворенность населения деятельностью о</w:t>
      </w:r>
      <w:r>
        <w:rPr>
          <w:lang w:val="ru-RU" w:eastAsia="ru-RU"/>
        </w:rPr>
        <w:t xml:space="preserve">рганов местного самоуправления района составила 97,55 %. </w:t>
      </w:r>
    </w:p>
    <w:p w:rsidR="000D61D2" w:rsidRDefault="001A00CF">
      <w:pPr>
        <w:pStyle w:val="12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lastRenderedPageBreak/>
        <w:t>В районе проводятся мероприятия по улучшению качества предоставляемых услуг поставщиками услуг, внедрение лучших практик оказания муниципальных услуг, информационно-разъяснительная работа среди граж</w:t>
      </w:r>
      <w:r>
        <w:rPr>
          <w:lang w:val="ru-RU" w:eastAsia="ru-RU"/>
        </w:rPr>
        <w:t>дан района.</w:t>
      </w:r>
    </w:p>
    <w:p w:rsidR="000D61D2" w:rsidRDefault="000D61D2">
      <w:pPr>
        <w:pStyle w:val="a4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1D2" w:rsidRDefault="001A00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 № 38. «Среднегодовая </w:t>
      </w:r>
    </w:p>
    <w:p w:rsidR="000D61D2" w:rsidRDefault="001A00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численность постоянного населения»</w:t>
      </w:r>
    </w:p>
    <w:p w:rsidR="000D61D2" w:rsidRDefault="000D61D2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pStyle w:val="12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По данным Территориального органа Федеральной службы государственной статистики по Белгородской области, среднегодовая численность постоянного населения муниципального района «Чернянский район» за 2024 год составила 28,8 тыс. человек. Демографическая ситуа</w:t>
      </w:r>
      <w:r>
        <w:rPr>
          <w:lang w:val="ru-RU" w:eastAsia="ru-RU"/>
        </w:rPr>
        <w:t xml:space="preserve">ция в Чернянском районе в целом характеризуется продолжающимся процессом естественной убыли населения. </w:t>
      </w:r>
    </w:p>
    <w:p w:rsidR="000D61D2" w:rsidRDefault="001A00CF">
      <w:pPr>
        <w:pStyle w:val="12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Число родившихся за 2024 год увеличилось по сравнению </w:t>
      </w:r>
      <w:r>
        <w:rPr>
          <w:lang w:val="ru-RU" w:eastAsia="ru-RU"/>
        </w:rPr>
        <w:br/>
        <w:t xml:space="preserve">с 2023 годом на 22 ребенка или на 12,2% и составило 202 человека. </w:t>
      </w:r>
      <w:r>
        <w:rPr>
          <w:lang w:val="ru-RU" w:eastAsia="ru-RU"/>
        </w:rPr>
        <w:br/>
        <w:t>При этом общий коэффициент рож</w:t>
      </w:r>
      <w:r>
        <w:rPr>
          <w:lang w:val="ru-RU" w:eastAsia="ru-RU"/>
        </w:rPr>
        <w:t xml:space="preserve">даемости за 2024 год составил </w:t>
      </w:r>
      <w:r>
        <w:rPr>
          <w:lang w:val="ru-RU" w:eastAsia="ru-RU"/>
        </w:rPr>
        <w:br/>
        <w:t xml:space="preserve">7,0 родившихся на 1 000 человек населения. </w:t>
      </w:r>
    </w:p>
    <w:p w:rsidR="000D61D2" w:rsidRDefault="001A00CF">
      <w:pPr>
        <w:pStyle w:val="12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Число умерших за 2024 год по сравнению с 2023 годом увеличилось на 17 человек или на 3,9% и составило 454 человека. Общий коэффициент смертности за 2024 год  составил 15,7 умерших н</w:t>
      </w:r>
      <w:r>
        <w:rPr>
          <w:lang w:val="ru-RU" w:eastAsia="ru-RU"/>
        </w:rPr>
        <w:t xml:space="preserve">а  1 000 человек населения. </w:t>
      </w:r>
    </w:p>
    <w:p w:rsidR="000D61D2" w:rsidRDefault="001A00CF">
      <w:pPr>
        <w:pStyle w:val="12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Число зарегистрированных за отчетный период 2024 года в органах ЗАГС браков 164 единицы, число разводов - 120 единиц. </w:t>
      </w:r>
    </w:p>
    <w:p w:rsidR="000D61D2" w:rsidRDefault="001A00CF">
      <w:pPr>
        <w:pStyle w:val="12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По данным текущего учета за 2024 год в Чернянском районе </w:t>
      </w:r>
      <w:r>
        <w:rPr>
          <w:lang w:val="ru-RU" w:eastAsia="ru-RU"/>
        </w:rPr>
        <w:br/>
        <w:t>на постоянное место жительства прибыло 807 человек</w:t>
      </w:r>
      <w:r>
        <w:rPr>
          <w:lang w:val="ru-RU" w:eastAsia="ru-RU"/>
        </w:rPr>
        <w:t xml:space="preserve">, в том числе 392 – </w:t>
      </w:r>
      <w:r>
        <w:rPr>
          <w:lang w:val="ru-RU" w:eastAsia="ru-RU"/>
        </w:rPr>
        <w:br/>
        <w:t xml:space="preserve">в городскую и 415 – в сельскую местность. Выбыло из района - </w:t>
      </w:r>
      <w:r>
        <w:rPr>
          <w:lang w:val="ru-RU" w:eastAsia="ru-RU"/>
        </w:rPr>
        <w:br/>
        <w:t>924 человека, 419 человек из городской и 505 человек из сельской местности. Миграционная убыль населения за отчетный период составила 117 человек, из них в городской местнос</w:t>
      </w:r>
      <w:r>
        <w:rPr>
          <w:lang w:val="ru-RU" w:eastAsia="ru-RU"/>
        </w:rPr>
        <w:t xml:space="preserve">ти миграционная убыль - </w:t>
      </w:r>
      <w:r>
        <w:rPr>
          <w:lang w:val="ru-RU" w:eastAsia="ru-RU"/>
        </w:rPr>
        <w:br/>
        <w:t xml:space="preserve">27 человек, в сельской местности миграционная убыль - 90 человек. </w:t>
      </w:r>
    </w:p>
    <w:p w:rsidR="000D61D2" w:rsidRDefault="001A00CF">
      <w:pPr>
        <w:pStyle w:val="12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Миграционный прирост населения сложился в результате обмена населением с субъектами Российской Федерации по федеральным округам: Луганской Народной Республикой (9 ч</w:t>
      </w:r>
      <w:r>
        <w:rPr>
          <w:lang w:val="ru-RU" w:eastAsia="ru-RU"/>
        </w:rPr>
        <w:t xml:space="preserve">еловек), Донецкой Народной Республикой (6 человек), Дальневосточным округом (3 человека), Сибирским округом (1 человек). Отрицательное сальдо миграции отмечается в обмене населением с субъектами Российской Федерации </w:t>
      </w:r>
      <w:r>
        <w:rPr>
          <w:lang w:val="ru-RU" w:eastAsia="ru-RU"/>
        </w:rPr>
        <w:br/>
        <w:t>по федеральным округам: Центральным (56</w:t>
      </w:r>
      <w:r>
        <w:rPr>
          <w:lang w:val="ru-RU" w:eastAsia="ru-RU"/>
        </w:rPr>
        <w:t xml:space="preserve"> человек), Южным </w:t>
      </w:r>
      <w:r>
        <w:rPr>
          <w:lang w:val="ru-RU" w:eastAsia="ru-RU"/>
        </w:rPr>
        <w:br/>
        <w:t xml:space="preserve">(15 человек), Северо-Кавказким (6 человек), Северо-Западным (5 человек), Приволжский (4 человека). Сложившаяся за январь-декабрь 2024 года </w:t>
      </w:r>
      <w:r>
        <w:rPr>
          <w:lang w:val="ru-RU" w:eastAsia="ru-RU"/>
        </w:rPr>
        <w:br/>
        <w:t xml:space="preserve">в результате обмена с зарубежными странами миграционная убыль составила 50 человек. </w:t>
      </w:r>
    </w:p>
    <w:p w:rsidR="000D61D2" w:rsidRDefault="001A00CF">
      <w:pPr>
        <w:pStyle w:val="12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По оперативны</w:t>
      </w:r>
      <w:r>
        <w:rPr>
          <w:lang w:val="ru-RU" w:eastAsia="ru-RU"/>
        </w:rPr>
        <w:t>м данным, среднесписочная численность населения Чернянского района за 2024 год составила 28 815 человек.</w:t>
      </w:r>
    </w:p>
    <w:p w:rsidR="000D61D2" w:rsidRDefault="001A0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 w:clear="all"/>
      </w:r>
    </w:p>
    <w:p w:rsidR="000D61D2" w:rsidRDefault="001A00CF">
      <w:pPr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3.9. Анализ сферы</w:t>
      </w:r>
    </w:p>
    <w:p w:rsidR="000D61D2" w:rsidRDefault="001A00CF">
      <w:pPr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Энергосбережение и повышение энергетической эффективности»</w:t>
      </w:r>
    </w:p>
    <w:p w:rsidR="000D61D2" w:rsidRDefault="000D61D2">
      <w:pPr>
        <w:pStyle w:val="a4"/>
        <w:spacing w:line="228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1D2" w:rsidRDefault="001A00CF">
      <w:pPr>
        <w:pStyle w:val="12"/>
        <w:spacing w:line="228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Жилищно-коммунальное обслуживание в районе</w:t>
      </w:r>
      <w:r>
        <w:rPr>
          <w:lang w:val="ru-RU" w:eastAsia="ru-RU"/>
        </w:rPr>
        <w:t xml:space="preserve"> осуществляют:                     МАУ «Служба благоустройства», МАУ «Экосервис», ГУП «БЕЛВОДОКАНАЛ» ПП «Чернянский район» Филиал «Центральный», АО «Теплоком», Чернянская районная эксплуатационная газовая служба филиала АО «Белгородоблгаз», Чернянский РЭС </w:t>
      </w:r>
      <w:r>
        <w:rPr>
          <w:lang w:val="ru-RU" w:eastAsia="ru-RU"/>
        </w:rPr>
        <w:t>филиала ПАО «Межрегиональная распределительная сетевая компания центра» «Белгородэнерго», АО «Белгородская сбытовая компания» Чернянский участок, ООО «Паритет».</w:t>
      </w:r>
    </w:p>
    <w:p w:rsidR="000D61D2" w:rsidRDefault="001A00CF">
      <w:pPr>
        <w:pStyle w:val="12"/>
        <w:spacing w:line="228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В 2024 году бюджетными учреждениями Чернянского района </w:t>
      </w:r>
      <w:r>
        <w:rPr>
          <w:lang w:val="ru-RU" w:eastAsia="ru-RU"/>
        </w:rPr>
        <w:br/>
        <w:t>в информационной системе СУЭР Белгородс</w:t>
      </w:r>
      <w:r>
        <w:rPr>
          <w:lang w:val="ru-RU" w:eastAsia="ru-RU"/>
        </w:rPr>
        <w:t>кой области заполнялись энергетические декларации по объемам потребления энергетических ресурсов за 2023 год. Бюджетными учреждениями района заключены договора на оказание услуг по предоставлению права доступа, обеспечению функционирования, обработки данны</w:t>
      </w:r>
      <w:r>
        <w:rPr>
          <w:lang w:val="ru-RU" w:eastAsia="ru-RU"/>
        </w:rPr>
        <w:t xml:space="preserve">х и размещения информации в базе данных СУЭР (Система управления энергоресурсами) Белгородской области и пройдено обучение в БГТУ им. В.Г. Шухова </w:t>
      </w:r>
      <w:r>
        <w:rPr>
          <w:lang w:val="ru-RU" w:eastAsia="ru-RU"/>
        </w:rPr>
        <w:br/>
        <w:t xml:space="preserve">по программе повышения квалификации «Управление энергоресурсами, энергосбережение и повышение энергетической </w:t>
      </w:r>
      <w:r>
        <w:rPr>
          <w:lang w:val="ru-RU" w:eastAsia="ru-RU"/>
        </w:rPr>
        <w:t xml:space="preserve">эффективности </w:t>
      </w:r>
      <w:r>
        <w:rPr>
          <w:lang w:val="ru-RU" w:eastAsia="ru-RU"/>
        </w:rPr>
        <w:br/>
        <w:t xml:space="preserve">в бюджетном секторе», а также была предоставлена информация </w:t>
      </w:r>
      <w:r>
        <w:rPr>
          <w:lang w:val="ru-RU" w:eastAsia="ru-RU"/>
        </w:rPr>
        <w:br/>
        <w:t>по актуальным данным потребления энергетических ресурсов в базе данных СУЭР.</w:t>
      </w:r>
    </w:p>
    <w:p w:rsidR="000D61D2" w:rsidRDefault="001A00CF">
      <w:pPr>
        <w:spacing w:after="0" w:line="228" w:lineRule="auto"/>
        <w:ind w:left="11" w:firstLine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Показатель № 39. «Удельная величина потребления энергетических ресурсов в многоквартирных домах»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61D2" w:rsidRDefault="000D61D2">
      <w:pPr>
        <w:spacing w:after="0" w:line="228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pStyle w:val="12"/>
        <w:spacing w:line="228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В 2024 году удельная величина потребления энергетических ресурсов в многоквартирных домах  составила: </w:t>
      </w:r>
    </w:p>
    <w:p w:rsidR="000D61D2" w:rsidRDefault="001A00CF">
      <w:pPr>
        <w:pStyle w:val="12"/>
        <w:spacing w:line="228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- потребление  электрической  энергии в расчете на 1 проживающего – 580,15 кВт.ч., уменьшилось по отношению к 2023 году на 3,27%. </w:t>
      </w:r>
      <w:r>
        <w:rPr>
          <w:lang w:val="ru-RU" w:eastAsia="ru-RU"/>
        </w:rPr>
        <w:br/>
        <w:t>Этому способствовало у</w:t>
      </w:r>
      <w:r>
        <w:rPr>
          <w:lang w:val="ru-RU" w:eastAsia="ru-RU"/>
        </w:rPr>
        <w:t xml:space="preserve">стойчивое преобладание в октябре начале декабря 2024 года более высокой температуры. </w:t>
      </w:r>
    </w:p>
    <w:p w:rsidR="000D61D2" w:rsidRDefault="001A00CF">
      <w:pPr>
        <w:pStyle w:val="12"/>
        <w:spacing w:line="228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В плановом периоде прогнозируется снижение потребления электрической энергии; </w:t>
      </w:r>
    </w:p>
    <w:p w:rsidR="000D61D2" w:rsidRDefault="001A00CF">
      <w:pPr>
        <w:pStyle w:val="12"/>
        <w:spacing w:line="228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- потребление тепловой энергии в многоквартирных домах – </w:t>
      </w:r>
      <w:r>
        <w:rPr>
          <w:lang w:val="ru-RU" w:eastAsia="ru-RU"/>
        </w:rPr>
        <w:br/>
        <w:t>0,15 Гкал на 1 квадратный метр об</w:t>
      </w:r>
      <w:r>
        <w:rPr>
          <w:lang w:val="ru-RU" w:eastAsia="ru-RU"/>
        </w:rPr>
        <w:t xml:space="preserve">щей площади, что ниже показателя </w:t>
      </w:r>
      <w:r>
        <w:rPr>
          <w:lang w:val="ru-RU" w:eastAsia="ru-RU"/>
        </w:rPr>
        <w:br/>
        <w:t>2023 года. В плановом периоде не планируется повышение данного показателя за счет усовершенствования процесса производства и передачи тепловой энергии;</w:t>
      </w:r>
    </w:p>
    <w:p w:rsidR="000D61D2" w:rsidRDefault="001A00CF">
      <w:pPr>
        <w:pStyle w:val="12"/>
        <w:spacing w:line="228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- потребление горячей воды - 1,6 м3 на 1 проживающего, что</w:t>
      </w:r>
      <w:r>
        <w:rPr>
          <w:lang w:val="ru-RU" w:eastAsia="ru-RU"/>
        </w:rPr>
        <w:br/>
      </w:r>
      <w:r>
        <w:rPr>
          <w:lang w:val="ru-RU" w:eastAsia="ru-RU"/>
        </w:rPr>
        <w:t xml:space="preserve"> выше уровня показателя 2023 года. Увеличение показателя связано </w:t>
      </w:r>
      <w:r>
        <w:rPr>
          <w:lang w:val="ru-RU" w:eastAsia="ru-RU"/>
        </w:rPr>
        <w:br/>
        <w:t>с более  коротким сроком проведения ежегодных профилактических работ системы ГВС. В плановом периоде прогнозируется снижение показателя потребления горячей воды за счет дальнейшего увеличени</w:t>
      </w:r>
      <w:r>
        <w:rPr>
          <w:lang w:val="ru-RU" w:eastAsia="ru-RU"/>
        </w:rPr>
        <w:t>я числа приборов учета потребляемого ресурса, усовершенствования процесса производства и поставки потребителям горячей воды;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lastRenderedPageBreak/>
        <w:t xml:space="preserve">- потребление холодной воды – 24,86 м3 на 1 проживающего, </w:t>
      </w:r>
      <w:r>
        <w:rPr>
          <w:lang w:val="ru-RU" w:eastAsia="ru-RU"/>
        </w:rPr>
        <w:br/>
        <w:t xml:space="preserve">что на 3,3% выше показателя 2023 года. Увеличение показателя связано </w:t>
      </w:r>
      <w:r>
        <w:rPr>
          <w:lang w:val="ru-RU" w:eastAsia="ru-RU"/>
        </w:rPr>
        <w:br/>
        <w:t xml:space="preserve">с </w:t>
      </w:r>
      <w:r>
        <w:rPr>
          <w:lang w:val="ru-RU" w:eastAsia="ru-RU"/>
        </w:rPr>
        <w:t>засушливыми погодными условиями, в связи с чем увеличен расход воды на полив приусадебных участков.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В плановом периоде прогнозируется незначительное снижение показателя исходя из динамики оснащения жилья индивидуальными приборами учета;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- потребление приро</w:t>
      </w:r>
      <w:r>
        <w:rPr>
          <w:lang w:val="ru-RU" w:eastAsia="ru-RU"/>
        </w:rPr>
        <w:t xml:space="preserve">дного газа – 198,98 м3 на 1 проживающего, </w:t>
      </w:r>
      <w:r>
        <w:rPr>
          <w:lang w:val="ru-RU" w:eastAsia="ru-RU"/>
        </w:rPr>
        <w:br/>
        <w:t xml:space="preserve">что на 2,4% ниже показателя 2023 года. Уменьшение показателя связано </w:t>
      </w:r>
      <w:r>
        <w:rPr>
          <w:lang w:val="ru-RU" w:eastAsia="ru-RU"/>
        </w:rPr>
        <w:br/>
        <w:t>со увеличением установок числа приборов учета потребляемого ресурса.</w:t>
      </w:r>
    </w:p>
    <w:p w:rsidR="000D61D2" w:rsidRDefault="000D61D2">
      <w:pPr>
        <w:pStyle w:val="a4"/>
        <w:spacing w:line="235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1D2" w:rsidRDefault="001A00CF">
      <w:pPr>
        <w:spacing w:after="0" w:line="235" w:lineRule="auto"/>
        <w:ind w:left="11" w:hanging="1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Показатель № 40. «Удельная величина потребления энергетических ресурсов 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униципальными бюджетными учреждениями»</w:t>
      </w:r>
    </w:p>
    <w:p w:rsidR="000D61D2" w:rsidRDefault="000D61D2">
      <w:pPr>
        <w:spacing w:after="0" w:line="235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В 2024 году значения показателей, следующие: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- электрическая энергия –135,2 кВт/ч, что выше уровня показателя 2023 года. Удельная величина потребления электроэнергии бюджетными учреждениями в 2024 году увеличилась по</w:t>
      </w:r>
      <w:r>
        <w:rPr>
          <w:lang w:val="ru-RU" w:eastAsia="ru-RU"/>
        </w:rPr>
        <w:t xml:space="preserve"> сравнению с 2023 годом в связи </w:t>
      </w:r>
      <w:r>
        <w:rPr>
          <w:lang w:val="ru-RU" w:eastAsia="ru-RU"/>
        </w:rPr>
        <w:br/>
        <w:t xml:space="preserve">с тем, что в 2024 году с апреля месяца приступил к работе пионерский лагерь «Орбита» с.Заречное (прием детей с приграничных районов). </w:t>
      </w:r>
      <w:r>
        <w:rPr>
          <w:lang w:val="ru-RU" w:eastAsia="ru-RU"/>
        </w:rPr>
        <w:br/>
        <w:t>В плановом периоде работа по энергоэффективности будет продолжена;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- тепловая энергия –0</w:t>
      </w:r>
      <w:r>
        <w:rPr>
          <w:lang w:val="ru-RU" w:eastAsia="ru-RU"/>
        </w:rPr>
        <w:t>,08 Гкал на м2 общей площади муниципальных учреждений, что ниже показателя 2023 года на 0,0%. В плановом периоде прогнозируется сохранение значения показателя, связанное с дальнейшей работой по энергоэффективности и энергосбережению;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- горячая вода – показ</w:t>
      </w:r>
      <w:r>
        <w:rPr>
          <w:lang w:val="ru-RU" w:eastAsia="ru-RU"/>
        </w:rPr>
        <w:t xml:space="preserve">атель равен нулю, так как этот ресурс </w:t>
      </w:r>
      <w:r>
        <w:rPr>
          <w:lang w:val="ru-RU" w:eastAsia="ru-RU"/>
        </w:rPr>
        <w:br/>
        <w:t>в муниципальных бюджетных учреждениях не используется;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- холодная вода –1,96 м3</w:t>
      </w:r>
      <w:r>
        <w:rPr>
          <w:lang w:val="ru-RU" w:eastAsia="ru-RU"/>
        </w:rPr>
        <w:t>, что на 18% выше показателя 2023 года. Увеличение потребления холодной воды связано с тем, что в 2024 году  увеличено потребление холодной воды в ПБ «Дельфин» МБУ «ФОК» (проведение спортивных мероприятий);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- природный газ – 24,59 м3, что ниже показателя 2</w:t>
      </w:r>
      <w:r>
        <w:rPr>
          <w:lang w:val="ru-RU" w:eastAsia="ru-RU"/>
        </w:rPr>
        <w:t xml:space="preserve">023 года.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Работа в направлении по снижению энергозатрат продолжается.</w:t>
      </w:r>
    </w:p>
    <w:p w:rsidR="000D61D2" w:rsidRDefault="000D61D2">
      <w:pPr>
        <w:spacing w:after="0" w:line="235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3.10. Анализ сферы</w:t>
      </w:r>
    </w:p>
    <w:p w:rsidR="000D61D2" w:rsidRDefault="001A00CF">
      <w:pPr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«Независимая оценка качества условий</w:t>
      </w:r>
    </w:p>
    <w:p w:rsidR="000D61D2" w:rsidRDefault="001A00CF">
      <w:pPr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оказания услуг муниципальными организациями»</w:t>
      </w:r>
    </w:p>
    <w:p w:rsidR="000D61D2" w:rsidRDefault="000D61D2">
      <w:pPr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В районе ведется работа по улучшению качества условий оказания услуг муниципальным</w:t>
      </w:r>
      <w:r>
        <w:rPr>
          <w:lang w:val="ru-RU" w:eastAsia="ru-RU"/>
        </w:rPr>
        <w:t>и организациями района, а также по привлечению максимального количества жителей района к оценке качества услуг.</w:t>
      </w:r>
    </w:p>
    <w:p w:rsidR="000D61D2" w:rsidRDefault="000D61D2">
      <w:pPr>
        <w:spacing w:after="0" w:line="235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spacing w:after="0" w:line="235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Показатель № 41.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«Результаты независимой оценки качества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условий оказания услуг муниципальными организациями района»</w:t>
      </w:r>
    </w:p>
    <w:p w:rsidR="000D61D2" w:rsidRDefault="000D61D2">
      <w:pPr>
        <w:spacing w:after="0" w:line="235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По итогам 2024 года показатели независимой оценки следующие: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lastRenderedPageBreak/>
        <w:t xml:space="preserve">показатель 41.1 «по муниципальному образованию в целом» – </w:t>
      </w:r>
      <w:r>
        <w:rPr>
          <w:lang w:val="ru-RU" w:eastAsia="ru-RU"/>
        </w:rPr>
        <w:br/>
        <w:t xml:space="preserve">97,96 балла, что выше показателя 2023 года на 2,66 балла. Мероприятия </w:t>
      </w:r>
      <w:r>
        <w:rPr>
          <w:lang w:val="ru-RU" w:eastAsia="ru-RU"/>
        </w:rPr>
        <w:br/>
        <w:t>по улучшению качества поставляемых услуг продолжатся и в плановом</w:t>
      </w:r>
      <w:r>
        <w:rPr>
          <w:lang w:val="ru-RU" w:eastAsia="ru-RU"/>
        </w:rPr>
        <w:t xml:space="preserve"> периоде;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показатель 41.2 «по отрасли «Культура» – в отчетном периоде независимая оценка качества условий оказания услуг по отрасли «Культура» составила – 99,27 балла, что на 1,3 балла выше уровня показателя прошлого года. Мероприятия по улучшению качества</w:t>
      </w:r>
      <w:r>
        <w:rPr>
          <w:lang w:val="ru-RU" w:eastAsia="ru-RU"/>
        </w:rPr>
        <w:t xml:space="preserve"> поставляемых услуг продолжатся и в плановом периоде;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 показатель 41.3 «по отрасли «Образование» – 96,65 балла, что выше показателя 2023 года на 3,69 балла. Мероприятия по улучшению качества поставляемых услуг продолжатся и в плановом периоде;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показатель 4</w:t>
      </w:r>
      <w:r>
        <w:rPr>
          <w:lang w:val="ru-RU" w:eastAsia="ru-RU"/>
        </w:rPr>
        <w:t xml:space="preserve">1.4 «по отрасти «Охрана здоровья» – Полномочия </w:t>
      </w:r>
      <w:r>
        <w:rPr>
          <w:lang w:val="ru-RU" w:eastAsia="ru-RU"/>
        </w:rPr>
        <w:br/>
        <w:t>в сфере охраны здоровья не переданы на уровень ОМСУ;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показатель 41.5 «по отрасли «Социальное обслуживание» –</w:t>
      </w:r>
      <w:r>
        <w:rPr>
          <w:lang w:val="ru-RU" w:eastAsia="ru-RU"/>
        </w:rPr>
        <w:br/>
        <w:t xml:space="preserve">в 2024 году учреждения по линии социальной защиты населения и труда      в не оценивались. </w:t>
      </w:r>
    </w:p>
    <w:p w:rsidR="000D61D2" w:rsidRDefault="000D61D2">
      <w:pPr>
        <w:spacing w:after="0" w:line="235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b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>4. Рез</w:t>
      </w:r>
      <w:r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 xml:space="preserve">ультаты комплексной оценки эффективности </w:t>
      </w:r>
      <w:r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br/>
        <w:t>деятельности ОМСУ Чернянского района за 2024 год</w:t>
      </w:r>
    </w:p>
    <w:p w:rsidR="000D61D2" w:rsidRDefault="000D61D2">
      <w:pPr>
        <w:spacing w:after="0" w:line="235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Реализация потенциала социально-экономического развития Чернянского района определяется не только ожидаемым изменением сценарных условий развития района, но и макро</w:t>
      </w:r>
      <w:r>
        <w:rPr>
          <w:lang w:val="ru-RU" w:eastAsia="ru-RU"/>
        </w:rPr>
        <w:t>экономическими факторами. В 2024 году и в плановом периоде до 2027 года социально-экономическое развитие в муниципальном образовании «Чернянский район» Белгородской области реализуется в соответствии со Стратегией социально-экономического развития муниципа</w:t>
      </w:r>
      <w:r>
        <w:rPr>
          <w:lang w:val="ru-RU" w:eastAsia="ru-RU"/>
        </w:rPr>
        <w:t>льного района «Чернянский район» Белгородской области до 2025 года (далее Стратегией) и Планом мероприятий  по реализации стратегии социально-экономического развития муниципального района «Чернянский район» Белгородской области с учетом складывающейся ситу</w:t>
      </w:r>
      <w:r>
        <w:rPr>
          <w:lang w:val="ru-RU" w:eastAsia="ru-RU"/>
        </w:rPr>
        <w:t xml:space="preserve">ации и приоритетов, обозначенных в ежегодных посланиях Президента Российской Федерации В.В. Путина, </w:t>
      </w:r>
      <w:r>
        <w:rPr>
          <w:lang w:val="ru-RU" w:eastAsia="ru-RU"/>
        </w:rPr>
        <w:br/>
        <w:t>в федеральных и региональных нормативных правовых актах.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Анализ достигнутых значений показателей для оценки эффективности деятельности за 2024 год и их пла</w:t>
      </w:r>
      <w:r>
        <w:rPr>
          <w:lang w:val="ru-RU" w:eastAsia="ru-RU"/>
        </w:rPr>
        <w:t xml:space="preserve">нируемых значениях </w:t>
      </w:r>
      <w:r>
        <w:rPr>
          <w:lang w:val="ru-RU" w:eastAsia="ru-RU"/>
        </w:rPr>
        <w:br/>
        <w:t xml:space="preserve">на 3-летний период показал, что в целом стратегические планы развития района выполняются. Обозначены проблемные места, требующие доработки в плановом периоде: 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>качество образования, качество здравоохранения (особенно в части работы семе</w:t>
      </w:r>
      <w:r>
        <w:rPr>
          <w:lang w:val="ru-RU" w:eastAsia="ru-RU"/>
        </w:rPr>
        <w:t>йной медицины), качество землепользования, инвестиционная активность, строительство дорог и демография.</w:t>
      </w:r>
    </w:p>
    <w:p w:rsidR="000D61D2" w:rsidRDefault="001A00CF">
      <w:pPr>
        <w:pStyle w:val="12"/>
        <w:spacing w:line="235" w:lineRule="auto"/>
        <w:ind w:firstLine="720"/>
        <w:contextualSpacing/>
        <w:jc w:val="both"/>
        <w:rPr>
          <w:szCs w:val="28"/>
          <w:lang w:val="ru-RU" w:eastAsia="ru-RU"/>
        </w:rPr>
      </w:pPr>
      <w:r>
        <w:rPr>
          <w:lang w:val="ru-RU" w:eastAsia="ru-RU"/>
        </w:rPr>
        <w:t xml:space="preserve">По каждому из этих направлений проведен анализ, разработаны планы мероприятий, запланировано ресурсное обеспечение. </w:t>
      </w:r>
    </w:p>
    <w:sectPr w:rsidR="000D61D2">
      <w:pgSz w:w="11906" w:h="16838"/>
      <w:pgMar w:top="567" w:right="1134" w:bottom="1084" w:left="1701" w:header="567" w:footer="1084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1D2" w:rsidRDefault="001A00CF">
      <w:pPr>
        <w:spacing w:after="0" w:line="240" w:lineRule="auto"/>
      </w:pPr>
      <w:r>
        <w:separator/>
      </w:r>
    </w:p>
  </w:endnote>
  <w:endnote w:type="continuationSeparator" w:id="0">
    <w:p w:rsidR="000D61D2" w:rsidRDefault="001A0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Lohit Devanagari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1D2" w:rsidRDefault="001A00CF">
      <w:pPr>
        <w:spacing w:after="0" w:line="240" w:lineRule="auto"/>
      </w:pPr>
      <w:r>
        <w:separator/>
      </w:r>
    </w:p>
  </w:footnote>
  <w:footnote w:type="continuationSeparator" w:id="0">
    <w:p w:rsidR="000D61D2" w:rsidRDefault="001A0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427088"/>
      <w:docPartObj>
        <w:docPartGallery w:val="Page Numbers (Top of Page)"/>
        <w:docPartUnique/>
      </w:docPartObj>
    </w:sdtPr>
    <w:sdtEndPr/>
    <w:sdtContent>
      <w:p w:rsidR="000D61D2" w:rsidRDefault="001A00CF">
        <w:pPr>
          <w:pStyle w:val="af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D61D2" w:rsidRDefault="000D61D2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40D"/>
    <w:multiLevelType w:val="hybridMultilevel"/>
    <w:tmpl w:val="E946C40A"/>
    <w:lvl w:ilvl="0" w:tplc="2EDC0B4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5D87FC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82C658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DF45B8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05CC7C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EC025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E7A64F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74C1C9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64422E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04CE042C"/>
    <w:multiLevelType w:val="hybridMultilevel"/>
    <w:tmpl w:val="5AC495DA"/>
    <w:lvl w:ilvl="0" w:tplc="608AF12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  <w:highlight w:val="white"/>
      </w:rPr>
    </w:lvl>
    <w:lvl w:ilvl="1" w:tplc="E4D0AF9A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23EEA5A6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6E3C732A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A1ACF3E8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CA2236EC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7FCADA26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99968410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FAAC2704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2">
    <w:nsid w:val="05860382"/>
    <w:multiLevelType w:val="hybridMultilevel"/>
    <w:tmpl w:val="8C7C0B6A"/>
    <w:lvl w:ilvl="0" w:tplc="22D489C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  <w:color w:val="000000" w:themeColor="text1"/>
        <w:highlight w:val="white"/>
      </w:rPr>
    </w:lvl>
    <w:lvl w:ilvl="1" w:tplc="557AAA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4431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06079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8885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014F0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4FC63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98EA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C4C5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AE63C76"/>
    <w:multiLevelType w:val="hybridMultilevel"/>
    <w:tmpl w:val="79A6628A"/>
    <w:lvl w:ilvl="0" w:tplc="AD5C4DA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  <w:color w:val="000000" w:themeColor="text1"/>
        <w:highlight w:val="white"/>
      </w:rPr>
    </w:lvl>
    <w:lvl w:ilvl="1" w:tplc="C77684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DC04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848A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6A01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9223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C430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26EE7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1C17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0FCA70D4"/>
    <w:multiLevelType w:val="hybridMultilevel"/>
    <w:tmpl w:val="818665B4"/>
    <w:lvl w:ilvl="0" w:tplc="33F2271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F6EAFEB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8BD037F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38C4FB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5A6998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13142F6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95D238A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4EDA797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04AF0A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5">
    <w:nsid w:val="11523524"/>
    <w:multiLevelType w:val="hybridMultilevel"/>
    <w:tmpl w:val="DDBE73A4"/>
    <w:lvl w:ilvl="0" w:tplc="FE4EB57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  <w:highlight w:val="white"/>
      </w:rPr>
    </w:lvl>
    <w:lvl w:ilvl="1" w:tplc="81B09E4C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390C0CC4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0D4096F2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398E45D2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10889D34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6764069A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AF806258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2DDCAF30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6">
    <w:nsid w:val="136F4D4E"/>
    <w:multiLevelType w:val="hybridMultilevel"/>
    <w:tmpl w:val="C3E0028A"/>
    <w:lvl w:ilvl="0" w:tplc="DE14452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E2EBF3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59641C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D4EDF8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F6C40E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D3EB9F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772105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DC4B4F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ECCE6D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1EDB7277"/>
    <w:multiLevelType w:val="hybridMultilevel"/>
    <w:tmpl w:val="15F47590"/>
    <w:lvl w:ilvl="0" w:tplc="91F0131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DF486C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9B6505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152C2A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E3610C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002D80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6FE163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9FECE8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C488C4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203A0DD7"/>
    <w:multiLevelType w:val="hybridMultilevel"/>
    <w:tmpl w:val="2C88AF9E"/>
    <w:lvl w:ilvl="0" w:tplc="AE78B24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28C99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954DE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AD099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EFED02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EE229A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C5270D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A30A85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6D2F7C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>
    <w:nsid w:val="2B4F3A66"/>
    <w:multiLevelType w:val="hybridMultilevel"/>
    <w:tmpl w:val="2FAAD898"/>
    <w:lvl w:ilvl="0" w:tplc="D59EA2AC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236EA198">
      <w:start w:val="1"/>
      <w:numFmt w:val="lowerLetter"/>
      <w:lvlText w:val="%2."/>
      <w:lvlJc w:val="left"/>
      <w:pPr>
        <w:ind w:left="1429" w:hanging="360"/>
      </w:pPr>
    </w:lvl>
    <w:lvl w:ilvl="2" w:tplc="C34A60EA">
      <w:start w:val="1"/>
      <w:numFmt w:val="lowerRoman"/>
      <w:lvlText w:val="%3."/>
      <w:lvlJc w:val="right"/>
      <w:pPr>
        <w:ind w:left="2149" w:hanging="180"/>
      </w:pPr>
    </w:lvl>
    <w:lvl w:ilvl="3" w:tplc="5C7EE3B8">
      <w:start w:val="1"/>
      <w:numFmt w:val="decimal"/>
      <w:lvlText w:val="%4."/>
      <w:lvlJc w:val="left"/>
      <w:pPr>
        <w:ind w:left="2869" w:hanging="360"/>
      </w:pPr>
    </w:lvl>
    <w:lvl w:ilvl="4" w:tplc="C4B635C0">
      <w:start w:val="1"/>
      <w:numFmt w:val="lowerLetter"/>
      <w:lvlText w:val="%5."/>
      <w:lvlJc w:val="left"/>
      <w:pPr>
        <w:ind w:left="3589" w:hanging="360"/>
      </w:pPr>
    </w:lvl>
    <w:lvl w:ilvl="5" w:tplc="79D42BE4">
      <w:start w:val="1"/>
      <w:numFmt w:val="lowerRoman"/>
      <w:lvlText w:val="%6."/>
      <w:lvlJc w:val="right"/>
      <w:pPr>
        <w:ind w:left="4309" w:hanging="180"/>
      </w:pPr>
    </w:lvl>
    <w:lvl w:ilvl="6" w:tplc="3972386C">
      <w:start w:val="1"/>
      <w:numFmt w:val="decimal"/>
      <w:lvlText w:val="%7."/>
      <w:lvlJc w:val="left"/>
      <w:pPr>
        <w:ind w:left="5029" w:hanging="360"/>
      </w:pPr>
    </w:lvl>
    <w:lvl w:ilvl="7" w:tplc="19986404">
      <w:start w:val="1"/>
      <w:numFmt w:val="lowerLetter"/>
      <w:lvlText w:val="%8."/>
      <w:lvlJc w:val="left"/>
      <w:pPr>
        <w:ind w:left="5749" w:hanging="360"/>
      </w:pPr>
    </w:lvl>
    <w:lvl w:ilvl="8" w:tplc="6666D05C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37CB1A44"/>
    <w:multiLevelType w:val="hybridMultilevel"/>
    <w:tmpl w:val="909C46EE"/>
    <w:lvl w:ilvl="0" w:tplc="947A8E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04A9632">
      <w:start w:val="1"/>
      <w:numFmt w:val="lowerLetter"/>
      <w:lvlText w:val="%2."/>
      <w:lvlJc w:val="left"/>
      <w:pPr>
        <w:ind w:left="1789" w:hanging="360"/>
      </w:pPr>
    </w:lvl>
    <w:lvl w:ilvl="2" w:tplc="7CC65F08">
      <w:start w:val="1"/>
      <w:numFmt w:val="lowerRoman"/>
      <w:lvlText w:val="%3."/>
      <w:lvlJc w:val="right"/>
      <w:pPr>
        <w:ind w:left="2509" w:hanging="180"/>
      </w:pPr>
    </w:lvl>
    <w:lvl w:ilvl="3" w:tplc="2F66E2BE">
      <w:start w:val="1"/>
      <w:numFmt w:val="decimal"/>
      <w:lvlText w:val="%4."/>
      <w:lvlJc w:val="left"/>
      <w:pPr>
        <w:ind w:left="3229" w:hanging="360"/>
      </w:pPr>
    </w:lvl>
    <w:lvl w:ilvl="4" w:tplc="4E90446C">
      <w:start w:val="1"/>
      <w:numFmt w:val="lowerLetter"/>
      <w:lvlText w:val="%5."/>
      <w:lvlJc w:val="left"/>
      <w:pPr>
        <w:ind w:left="3949" w:hanging="360"/>
      </w:pPr>
    </w:lvl>
    <w:lvl w:ilvl="5" w:tplc="608EA298">
      <w:start w:val="1"/>
      <w:numFmt w:val="lowerRoman"/>
      <w:lvlText w:val="%6."/>
      <w:lvlJc w:val="right"/>
      <w:pPr>
        <w:ind w:left="4669" w:hanging="180"/>
      </w:pPr>
    </w:lvl>
    <w:lvl w:ilvl="6" w:tplc="4B80C7B4">
      <w:start w:val="1"/>
      <w:numFmt w:val="decimal"/>
      <w:lvlText w:val="%7."/>
      <w:lvlJc w:val="left"/>
      <w:pPr>
        <w:ind w:left="5389" w:hanging="360"/>
      </w:pPr>
    </w:lvl>
    <w:lvl w:ilvl="7" w:tplc="BF7A66A4">
      <w:start w:val="1"/>
      <w:numFmt w:val="lowerLetter"/>
      <w:lvlText w:val="%8."/>
      <w:lvlJc w:val="left"/>
      <w:pPr>
        <w:ind w:left="6109" w:hanging="360"/>
      </w:pPr>
    </w:lvl>
    <w:lvl w:ilvl="8" w:tplc="33EA23B6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7C3806"/>
    <w:multiLevelType w:val="hybridMultilevel"/>
    <w:tmpl w:val="F7EA6C22"/>
    <w:lvl w:ilvl="0" w:tplc="E116C9B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BD279E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CE8E93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B02E9A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104E6D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0D431B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596E3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3908F9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E98E0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>
    <w:nsid w:val="5F5D3A94"/>
    <w:multiLevelType w:val="hybridMultilevel"/>
    <w:tmpl w:val="EBC0C208"/>
    <w:lvl w:ilvl="0" w:tplc="52063E2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37E695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AC2DBC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C9037A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FB4846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7AA6AA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9067BF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8205B5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58E253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>
    <w:nsid w:val="655F43E0"/>
    <w:multiLevelType w:val="hybridMultilevel"/>
    <w:tmpl w:val="389653DC"/>
    <w:lvl w:ilvl="0" w:tplc="96E2C37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DAD0F44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844862B0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79EE35F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2F88DAB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F3D859E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E8AA5FB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8A8DF6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A430598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4">
    <w:nsid w:val="66AA5687"/>
    <w:multiLevelType w:val="hybridMultilevel"/>
    <w:tmpl w:val="961649F0"/>
    <w:lvl w:ilvl="0" w:tplc="FF0ACDF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194A921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F68C0D7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2C668C8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9B14E30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5838D75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7480DBC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50C4C36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652470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5">
    <w:nsid w:val="719000F8"/>
    <w:multiLevelType w:val="hybridMultilevel"/>
    <w:tmpl w:val="C270E794"/>
    <w:lvl w:ilvl="0" w:tplc="CCD818D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  <w:highlight w:val="white"/>
      </w:rPr>
    </w:lvl>
    <w:lvl w:ilvl="1" w:tplc="23BC4CF2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57AA85D8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3BAA64C8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B8308C78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41802D72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FEC67854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9EBC171A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83109510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16">
    <w:nsid w:val="7695100D"/>
    <w:multiLevelType w:val="hybridMultilevel"/>
    <w:tmpl w:val="D37CC940"/>
    <w:lvl w:ilvl="0" w:tplc="550E640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F9FCDAE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8889A7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8507FA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36AECE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03E525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09AE3A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17E80F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ED473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7"/>
  </w:num>
  <w:num w:numId="5">
    <w:abstractNumId w:val="11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14"/>
  </w:num>
  <w:num w:numId="11">
    <w:abstractNumId w:val="10"/>
  </w:num>
  <w:num w:numId="12">
    <w:abstractNumId w:val="8"/>
  </w:num>
  <w:num w:numId="13">
    <w:abstractNumId w:val="16"/>
  </w:num>
  <w:num w:numId="14">
    <w:abstractNumId w:val="1"/>
  </w:num>
  <w:num w:numId="15">
    <w:abstractNumId w:val="15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1D2"/>
    <w:rsid w:val="000D61D2"/>
    <w:rsid w:val="001A00CF"/>
    <w:rsid w:val="0078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af4">
    <w:name w:val="Верхний колонтитул Знак"/>
    <w:basedOn w:val="a0"/>
    <w:link w:val="af5"/>
    <w:uiPriority w:val="99"/>
    <w:qFormat/>
  </w:style>
  <w:style w:type="character" w:customStyle="1" w:styleId="af6">
    <w:name w:val="Нижний колонтитул Знак"/>
    <w:basedOn w:val="a0"/>
    <w:link w:val="af7"/>
    <w:uiPriority w:val="99"/>
    <w:qFormat/>
  </w:style>
  <w:style w:type="paragraph" w:customStyle="1" w:styleId="Heading">
    <w:name w:val="Heading"/>
    <w:basedOn w:val="a"/>
    <w:next w:val="af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8">
    <w:name w:val="Body Text"/>
    <w:basedOn w:val="a"/>
    <w:pPr>
      <w:spacing w:after="140"/>
    </w:pPr>
  </w:style>
  <w:style w:type="paragraph" w:styleId="af9">
    <w:name w:val="List"/>
    <w:basedOn w:val="af8"/>
    <w:rPr>
      <w:rFonts w:cs="Lohit Devanagari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fb">
    <w:name w:val="Содержимое врезки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f5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f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color w:val="000000"/>
      <w:sz w:val="28"/>
      <w:szCs w:val="24"/>
      <w:lang w:val="en-US"/>
    </w:rPr>
  </w:style>
  <w:style w:type="paragraph" w:customStyle="1" w:styleId="24">
    <w:name w:val="Основной текст2"/>
    <w:semiHidden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3">
    <w:name w:val="Абзац списка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Times New Roman"/>
      <w:color w:val="000000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Обычный (Интернет)"/>
    <w:semiHidden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inner-infolist-item-text">
    <w:name w:val="winner-info__list-item-text"/>
  </w:style>
  <w:style w:type="paragraph" w:customStyle="1" w:styleId="32">
    <w:name w:val="Основной текст3"/>
    <w:semiHidden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af4">
    <w:name w:val="Верхний колонтитул Знак"/>
    <w:basedOn w:val="a0"/>
    <w:link w:val="af5"/>
    <w:uiPriority w:val="99"/>
    <w:qFormat/>
  </w:style>
  <w:style w:type="character" w:customStyle="1" w:styleId="af6">
    <w:name w:val="Нижний колонтитул Знак"/>
    <w:basedOn w:val="a0"/>
    <w:link w:val="af7"/>
    <w:uiPriority w:val="99"/>
    <w:qFormat/>
  </w:style>
  <w:style w:type="paragraph" w:customStyle="1" w:styleId="Heading">
    <w:name w:val="Heading"/>
    <w:basedOn w:val="a"/>
    <w:next w:val="af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8">
    <w:name w:val="Body Text"/>
    <w:basedOn w:val="a"/>
    <w:pPr>
      <w:spacing w:after="140"/>
    </w:pPr>
  </w:style>
  <w:style w:type="paragraph" w:styleId="af9">
    <w:name w:val="List"/>
    <w:basedOn w:val="af8"/>
    <w:rPr>
      <w:rFonts w:cs="Lohit Devanagari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fb">
    <w:name w:val="Содержимое врезки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f5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f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color w:val="000000"/>
      <w:sz w:val="28"/>
      <w:szCs w:val="24"/>
      <w:lang w:val="en-US"/>
    </w:rPr>
  </w:style>
  <w:style w:type="paragraph" w:customStyle="1" w:styleId="24">
    <w:name w:val="Основной текст2"/>
    <w:semiHidden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3">
    <w:name w:val="Абзац списка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Times New Roman"/>
      <w:color w:val="000000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Обычный (Интернет)"/>
    <w:semiHidden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inner-infolist-item-text">
    <w:name w:val="winner-info__list-item-text"/>
  </w:style>
  <w:style w:type="paragraph" w:customStyle="1" w:styleId="32">
    <w:name w:val="Основной текст3"/>
    <w:semiHidden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lapk.ru/gospodderzhka/2023/subsidii-vozmeshenie-chasti-zatrat-na-podderzhku-proizvodstva-kartofelya-i-ovoshej-otkrytogo-grunta-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15303</Words>
  <Characters>87228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главы (Федеральный сбор) - без текстовой части</vt:lpstr>
    </vt:vector>
  </TitlesOfParts>
  <Company>2024.4.5 from 22 November 2024, Java</Company>
  <LinksUpToDate>false</LinksUpToDate>
  <CharactersWithSpaces>102327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главы (Федеральный сбор) - без текстовой части</dc:title>
  <dc:subject>Доклад главы (Федеральный сбор).docx</dc:subject>
  <dc:creator>User</dc:creator>
  <cp:lastModifiedBy>User</cp:lastModifiedBy>
  <cp:revision>2</cp:revision>
  <dcterms:created xsi:type="dcterms:W3CDTF">2025-04-25T07:22:00Z</dcterms:created>
  <dcterms:modified xsi:type="dcterms:W3CDTF">2025-04-25T07:22:00Z</dcterms:modified>
</cp:coreProperties>
</file>