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5"/>
        <w:pBdr/>
        <w:spacing/>
        <w:ind/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width:52.00pt;height:56.70pt;mso-wrap-distance-left:0.00pt;mso-wrap-distance-top:0.00pt;mso-wrap-distance-right:0.00pt;mso-wrap-distance-bottom:0.00pt;z-index:1;" filled="f" stroked="f">
            <v:imagedata r:id="rId10" o:title=""/>
            <o:lock v:ext="edit" rotation="t"/>
          </v:shape>
          <o:OLEObject DrawAspect="Content" r:id="rId11" ObjectID="_1525040" ProgID="Word.Picture.8" ShapeID="_x0000_i0" Type="Embed"/>
        </w:objec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905"/>
        <w:pBdr/>
        <w:spacing/>
        <w:ind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</w:r>
      <w:r>
        <w:rPr>
          <w:rFonts w:ascii="Times New Roman CYR" w:hAnsi="Times New Roman CYR"/>
          <w:b/>
        </w:rPr>
      </w:r>
    </w:p>
    <w:p>
      <w:pPr>
        <w:pStyle w:val="905"/>
        <w:pBdr/>
        <w:spacing/>
        <w:ind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  <w:highlight w:val="none"/>
        </w:rPr>
        <w:t xml:space="preserve">ЧЕРНЯН</w:t>
      </w:r>
      <w:r>
        <w:rPr>
          <w:rFonts w:ascii="Times New Roman CYR" w:hAnsi="Times New Roman CYR"/>
          <w:b/>
          <w:sz w:val="34"/>
          <w:highlight w:val="white"/>
        </w:rPr>
        <w:t xml:space="preserve">СКАЯ </w:t>
      </w:r>
      <w:r>
        <w:rPr>
          <w:rFonts w:ascii="Times New Roman CYR" w:hAnsi="Times New Roman CYR"/>
          <w:b/>
          <w:sz w:val="34"/>
          <w:highlight w:val="white"/>
        </w:rPr>
        <w:t xml:space="preserve">Т</w:t>
      </w:r>
      <w:r>
        <w:rPr>
          <w:rFonts w:ascii="Times New Roman CYR" w:hAnsi="Times New Roman CYR"/>
          <w:b/>
          <w:sz w:val="34"/>
        </w:rPr>
        <w:t xml:space="preserve">ЕРРИТОРИАЛЬНАЯ</w:t>
      </w:r>
      <w:r>
        <w:rPr>
          <w:rFonts w:ascii="Times New Roman CYR" w:hAnsi="Times New Roman CYR"/>
          <w:b/>
          <w:sz w:val="34"/>
        </w:rPr>
        <w:br w:type="textWrapping" w:clear="all"/>
      </w:r>
      <w:r>
        <w:rPr>
          <w:rFonts w:ascii="Times New Roman CYR" w:hAnsi="Times New Roman CYR"/>
          <w:b/>
          <w:sz w:val="34"/>
        </w:rPr>
        <w:t xml:space="preserve">ИЗБИРАТЕЛЬНАЯ КОМИССИЯ</w:t>
        <w:br w:type="textWrapping" w:clear="all"/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905"/>
        <w:pBdr/>
        <w:spacing/>
        <w:ind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 xml:space="preserve">ПОСТАНОВЛЕНИЕ</w:t>
      </w:r>
      <w:r>
        <w:rPr>
          <w:rFonts w:ascii="Times New Roman CYR" w:hAnsi="Times New Roman CYR"/>
          <w:b/>
          <w:spacing w:val="60"/>
          <w:sz w:val="32"/>
        </w:rPr>
      </w:r>
    </w:p>
    <w:p>
      <w:pPr>
        <w:pStyle w:val="905"/>
        <w:pBdr/>
        <w:spacing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9354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8"/>
        <w:gridCol w:w="2528"/>
        <w:gridCol w:w="299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905"/>
              <w:pBdr/>
              <w:spacing/>
              <w:ind/>
              <w:rPr/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июня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8" w:type="dxa"/>
            <w:vAlign w:val="top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58</w:t>
            </w:r>
            <w:r>
              <w:rPr>
                <w:sz w:val="28"/>
              </w:rPr>
              <w:t xml:space="preserve">/</w:t>
            </w:r>
            <w:r>
              <w:rPr>
                <w:sz w:val="28"/>
              </w:rPr>
              <w:t xml:space="preserve">449 -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10"/>
        <w:widowControl w:val="true"/>
        <w:pBdr/>
        <w:spacing/>
        <w:ind w:right="-1"/>
        <w:jc w:val="center"/>
        <w:rPr>
          <w:b/>
          <w:szCs w:val="28"/>
        </w:rPr>
      </w:pPr>
      <w:r>
        <w:rPr>
          <w:b/>
          <w:szCs w:val="28"/>
          <w:highlight w:val="none"/>
        </w:rPr>
        <w:t xml:space="preserve">п. </w:t>
      </w:r>
      <w:r>
        <w:rPr>
          <w:b/>
          <w:szCs w:val="28"/>
        </w:rPr>
        <w:t xml:space="preserve">Чернянка</w:t>
      </w:r>
      <w:r>
        <w:rPr>
          <w:b/>
          <w:szCs w:val="28"/>
        </w:rPr>
      </w:r>
    </w:p>
    <w:p>
      <w:pPr>
        <w:pStyle w:val="910"/>
        <w:widowControl w:val="true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1"/>
        <w:widowControl w:val="true"/>
        <w:pBdr/>
        <w:tabs>
          <w:tab w:val="left" w:leader="none" w:pos="4395"/>
          <w:tab w:val="left" w:leader="none" w:pos="5245"/>
          <w:tab w:val="left" w:leader="none" w:pos="5812"/>
          <w:tab w:val="left" w:leader="none" w:pos="6379"/>
        </w:tabs>
        <w:spacing/>
        <w:ind w:right="3402"/>
        <w:rPr>
          <w:b/>
        </w:rPr>
      </w:pPr>
      <w:r>
        <w:rPr>
          <w:b/>
        </w:rPr>
        <w:t xml:space="preserve">О предложении проведения дистанционного электронного голосования на выборах </w:t>
      </w:r>
      <w:r>
        <w:rPr>
          <w:b/>
        </w:rPr>
        <w:t xml:space="preserve">депутатов </w:t>
      </w:r>
      <w:r>
        <w:rPr>
          <w:b/>
        </w:rPr>
        <w:t xml:space="preserve">Совета депутатов</w:t>
      </w:r>
      <w:r>
        <w:rPr>
          <w:b/>
        </w:rPr>
        <w:t xml:space="preserve"> Чернянского</w:t>
      </w:r>
      <w:r>
        <w:rPr>
          <w:b/>
        </w:rPr>
        <w:t xml:space="preserve"> муниципального округа Белгородской области первого созыва</w:t>
      </w:r>
      <w:r>
        <w:rPr>
          <w:b/>
        </w:rPr>
      </w:r>
      <w:r>
        <w:rPr>
          <w:b/>
        </w:rPr>
      </w:r>
    </w:p>
    <w:p>
      <w:pPr>
        <w:pStyle w:val="905"/>
        <w:pBdr/>
        <w:spacing/>
        <w:ind/>
        <w:jc w:val="both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pStyle w:val="911"/>
        <w:pBdr/>
        <w:spacing w:line="360" w:lineRule="auto"/>
        <w:ind w:firstLine="709"/>
        <w:rPr>
          <w:rFonts w:ascii="Times New Roman CYR" w:hAnsi="Times New Roman CYR"/>
        </w:rPr>
      </w:pPr>
      <w:r>
        <w:t xml:space="preserve">В целях создания дополнительных условий для реализации активного избирательног</w:t>
      </w:r>
      <w:r>
        <w:t xml:space="preserve">о права граждан Российской Федерации</w:t>
      </w:r>
      <w:r>
        <w:t xml:space="preserve">, р</w:t>
      </w:r>
      <w:r>
        <w:t xml:space="preserve">уководствуясь </w:t>
      </w:r>
      <w:r>
        <w:t xml:space="preserve">пунктом </w:t>
      </w:r>
      <w:r>
        <w:t xml:space="preserve">4</w:t>
      </w:r>
      <w:r>
        <w:t xml:space="preserve"> </w:t>
      </w:r>
      <w:r>
        <w:t xml:space="preserve">статьи </w:t>
      </w:r>
      <w:r>
        <w:t xml:space="preserve">64</w:t>
      </w:r>
      <w:r>
        <w:rPr>
          <w:vertAlign w:val="superscript"/>
        </w:rPr>
        <w:t xml:space="preserve">1</w:t>
      </w:r>
      <w:r>
        <w:t xml:space="preserve"> </w:t>
      </w:r>
      <w:r>
        <w:t xml:space="preserve">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12</w:t>
      </w:r>
      <w:r>
        <w:t xml:space="preserve"> июня </w:t>
      </w:r>
      <w:r>
        <w:t xml:space="preserve">2002</w:t>
      </w:r>
      <w:r>
        <w:t xml:space="preserve"> год</w:t>
      </w:r>
      <w:r>
        <w:t xml:space="preserve">а</w:t>
      </w:r>
      <w:r>
        <w:t xml:space="preserve"> </w:t>
      </w:r>
      <w:r>
        <w:t xml:space="preserve">№ </w:t>
      </w:r>
      <w:r>
        <w:t xml:space="preserve">67-ФЗ</w:t>
      </w:r>
      <w:r>
        <w:t xml:space="preserve"> </w:t>
      </w:r>
      <w:r>
        <w:t xml:space="preserve">«</w:t>
      </w:r>
      <w:r>
        <w:t xml:space="preserve">Об основных гарантиях избирательных прав и права </w:t>
      </w:r>
      <w:r>
        <w:br w:type="textWrapping" w:clear="all"/>
      </w:r>
      <w:r>
        <w:t xml:space="preserve">на участие в референдуме граждан Российской Федерации</w:t>
      </w:r>
      <w:r>
        <w:t xml:space="preserve">»</w:t>
      </w:r>
      <w:r>
        <w:t xml:space="preserve">, </w:t>
      </w:r>
      <w:r>
        <w:t xml:space="preserve">частью </w:t>
      </w:r>
      <w:r>
        <w:t xml:space="preserve">3</w:t>
      </w:r>
      <w:r>
        <w:t xml:space="preserve"> </w:t>
      </w:r>
      <w:r>
        <w:br w:type="textWrapping" w:clear="all"/>
      </w:r>
      <w:r>
        <w:t xml:space="preserve">статьи </w:t>
      </w:r>
      <w:r>
        <w:t xml:space="preserve">74</w:t>
      </w:r>
      <w:r>
        <w:rPr>
          <w:vertAlign w:val="superscript"/>
        </w:rPr>
        <w:t xml:space="preserve">1</w:t>
      </w:r>
      <w:r>
        <w:t xml:space="preserve"> </w:t>
      </w:r>
      <w:r>
        <w:t xml:space="preserve">закон</w:t>
      </w:r>
      <w:r>
        <w:t xml:space="preserve">а</w:t>
      </w:r>
      <w:r>
        <w:t xml:space="preserve"> Белгородской области от</w:t>
      </w:r>
      <w:r>
        <w:t xml:space="preserve"> </w:t>
      </w:r>
      <w:r>
        <w:t xml:space="preserve">1</w:t>
      </w:r>
      <w:r>
        <w:t xml:space="preserve"> </w:t>
      </w:r>
      <w:r>
        <w:t xml:space="preserve">апреля 2005 года №</w:t>
      </w:r>
      <w:r>
        <w:t xml:space="preserve"> </w:t>
      </w:r>
      <w:r>
        <w:t xml:space="preserve">182 «Избирательный</w:t>
      </w:r>
      <w:r>
        <w:t xml:space="preserve"> кодекс Белгородск</w:t>
      </w:r>
      <w:r>
        <w:t xml:space="preserve">ой области»</w:t>
      </w:r>
      <w:r>
        <w:t xml:space="preserve">,</w:t>
      </w:r>
      <w:r>
        <w:t xml:space="preserve"> </w:t>
      </w:r>
      <w:r>
        <w:t xml:space="preserve">постановлением Избирательной к</w:t>
      </w:r>
      <w:r>
        <w:t xml:space="preserve">омиссии Белгородской области от </w:t>
      </w:r>
      <w:r>
        <w:t xml:space="preserve">5 марта 2025 года</w:t>
      </w:r>
      <w:r>
        <w:t xml:space="preserve"> № </w:t>
      </w:r>
      <w:r>
        <w:t xml:space="preserve">101</w:t>
      </w:r>
      <w:r>
        <w:rPr>
          <w:highlight w:val="white"/>
        </w:rPr>
        <w:t xml:space="preserve">/</w:t>
      </w:r>
      <w:r>
        <w:rPr>
          <w:highlight w:val="white"/>
        </w:rPr>
        <w:t xml:space="preserve">8</w:t>
      </w:r>
      <w:r>
        <w:rPr>
          <w:highlight w:val="white"/>
        </w:rPr>
        <w:t xml:space="preserve">8</w:t>
      </w:r>
      <w:r>
        <w:rPr>
          <w:highlight w:val="none"/>
        </w:rPr>
        <w:t xml:space="preserve">4</w:t>
      </w:r>
      <w:r>
        <w:t xml:space="preserve">-7</w:t>
      </w:r>
      <w:r>
        <w:t xml:space="preserve"> </w:t>
      </w:r>
      <w:r>
        <w:t xml:space="preserve">«</w:t>
      </w:r>
      <w:r>
        <w:t xml:space="preserve">О возложении </w:t>
      </w:r>
      <w:r>
        <w:t xml:space="preserve">на </w:t>
      </w:r>
      <w:r>
        <w:rPr>
          <w:highlight w:val="none"/>
        </w:rPr>
        <w:t xml:space="preserve">Чернянскую</w:t>
      </w:r>
      <w:r>
        <w:t xml:space="preserve"> территориальную избирательную комиссию полномочий по назначению, подготовке и проведению выборов депутатов Совета де</w:t>
      </w:r>
      <w:r>
        <w:t xml:space="preserve">путатов </w:t>
      </w:r>
      <w:r>
        <w:rPr>
          <w:highlight w:val="none"/>
        </w:rPr>
        <w:t xml:space="preserve">Чернян</w:t>
      </w:r>
      <w:r>
        <w:rPr>
          <w:highlight w:val="white"/>
        </w:rPr>
        <w:t xml:space="preserve">ского</w:t>
      </w:r>
      <w:r>
        <w:rPr>
          <w:highlight w:val="white"/>
        </w:rPr>
        <w:t xml:space="preserve"> </w:t>
      </w:r>
      <w:r>
        <w:t xml:space="preserve">муниц</w:t>
      </w:r>
      <w:r>
        <w:t xml:space="preserve">ипального округа Белгородской области первого </w:t>
      </w:r>
      <w:r>
        <w:t xml:space="preserve">созыва</w:t>
      </w:r>
      <w:r>
        <w:t xml:space="preserve">»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highlight w:val="none"/>
        </w:rPr>
        <w:t xml:space="preserve">Чернянская</w:t>
      </w:r>
      <w:r>
        <w:rPr>
          <w:rFonts w:ascii="Times New Roman CYR" w:hAnsi="Times New Roman CYR"/>
        </w:rPr>
        <w:t xml:space="preserve"> территориальн</w:t>
      </w:r>
      <w:r>
        <w:rPr>
          <w:rFonts w:ascii="Times New Roman CYR" w:hAnsi="Times New Roman CYR"/>
        </w:rPr>
        <w:t xml:space="preserve">ая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</w:t>
      </w:r>
      <w:r>
        <w:rPr>
          <w:rFonts w:ascii="Times New Roman CYR" w:hAnsi="Times New Roman CYR"/>
        </w:rPr>
        <w:t xml:space="preserve">збирательная комиссия </w:t>
      </w:r>
      <w:r>
        <w:rPr>
          <w:rFonts w:ascii="Times New Roman CYR" w:hAnsi="Times New Roman CYR"/>
          <w:b/>
          <w:spacing w:val="20"/>
        </w:rPr>
        <w:t xml:space="preserve">постановляет</w:t>
      </w:r>
      <w:r>
        <w:rPr>
          <w:rFonts w:ascii="Times New Roman CYR" w:hAnsi="Times New Roman CYR"/>
        </w:rPr>
        <w:t xml:space="preserve">:</w: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pStyle w:val="911"/>
        <w:widowControl w:val="true"/>
        <w:pBdr/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</w:t>
      </w:r>
      <w:r>
        <w:rPr>
          <w:rFonts w:ascii="Times New Roman CYR" w:hAnsi="Times New Roman CYR"/>
        </w:rPr>
        <w:t xml:space="preserve"> </w:t>
      </w:r>
      <w:r>
        <w:rPr>
          <w:rFonts w:ascii="Times New Roman CYR" w:hAnsi="Times New Roman CYR"/>
        </w:rPr>
        <w:t xml:space="preserve">Обратиться в Избирательную комиссию Белгородской области </w:t>
      </w:r>
      <w:r>
        <w:rPr>
          <w:rFonts w:ascii="Times New Roman CYR" w:hAnsi="Times New Roman CYR"/>
        </w:rPr>
        <w:br w:type="textWrapping" w:clear="all"/>
      </w:r>
      <w:r>
        <w:rPr>
          <w:rFonts w:ascii="Times New Roman CYR" w:hAnsi="Times New Roman CYR"/>
        </w:rPr>
        <w:t xml:space="preserve">с предложением принять решение</w:t>
      </w:r>
      <w:r>
        <w:rPr>
          <w:rFonts w:ascii="Times New Roman CYR" w:hAnsi="Times New Roman CYR"/>
        </w:rPr>
        <w:t xml:space="preserve"> о проведении дистанционного электронного голосования на </w:t>
      </w:r>
      <w:r>
        <w:rPr>
          <w:rFonts w:ascii="Times New Roman CYR" w:hAnsi="Times New Roman CYR"/>
        </w:rPr>
        <w:t xml:space="preserve">выборах депутатов Совета депутатов </w:t>
      </w:r>
      <w:r>
        <w:rPr>
          <w:highlight w:val="none"/>
        </w:rPr>
        <w:t xml:space="preserve">Чернян</w:t>
      </w:r>
      <w:r>
        <w:rPr>
          <w:highlight w:val="white"/>
        </w:rPr>
        <w:t xml:space="preserve">ского</w:t>
      </w:r>
      <w:r>
        <w:rPr>
          <w:highlight w:val="white"/>
        </w:rPr>
        <w:t xml:space="preserve"> </w:t>
      </w:r>
      <w:r>
        <w:rPr>
          <w:rFonts w:ascii="Times New Roman CYR" w:hAnsi="Times New Roman CYR"/>
        </w:rPr>
        <w:t xml:space="preserve">муниципального округа Белгородской области первого созыва</w:t>
      </w:r>
      <w:r>
        <w:rPr>
          <w:rFonts w:ascii="Times New Roman CYR" w:hAnsi="Times New Roman CYR"/>
        </w:rPr>
        <w:t xml:space="preserve">.</w:t>
      </w:r>
      <w:r>
        <w:rPr>
          <w:rFonts w:ascii="Times New Roman CYR" w:hAnsi="Times New Roman CYR"/>
        </w:rPr>
      </w:r>
    </w:p>
    <w:p>
      <w:pPr>
        <w:pStyle w:val="905"/>
        <w:pBdr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2. </w:t>
      </w:r>
      <w:r>
        <w:rPr>
          <w:sz w:val="28"/>
          <w:szCs w:val="20"/>
        </w:rPr>
        <w:t xml:space="preserve">Направить настоящее постановление для опубликования в сетевое издание </w:t>
      </w:r>
      <w:r>
        <w:rPr>
          <w:sz w:val="28"/>
          <w:szCs w:val="20"/>
          <w:highlight w:val="white"/>
        </w:rPr>
        <w:t xml:space="preserve">«Приосколье 31»</w:t>
      </w:r>
      <w:r>
        <w:rPr>
          <w:sz w:val="28"/>
          <w:szCs w:val="20"/>
          <w:highlight w:val="white"/>
        </w:rPr>
        <w:t xml:space="preserve">, газету </w:t>
      </w:r>
      <w:r>
        <w:rPr>
          <w:sz w:val="28"/>
          <w:szCs w:val="20"/>
          <w:highlight w:val="white"/>
        </w:rPr>
        <w:t xml:space="preserve">«</w:t>
      </w:r>
      <w:r>
        <w:rPr>
          <w:sz w:val="28"/>
          <w:szCs w:val="20"/>
          <w:highlight w:val="white"/>
        </w:rPr>
        <w:t xml:space="preserve">Приосколье</w:t>
      </w:r>
      <w:r>
        <w:rPr>
          <w:sz w:val="28"/>
          <w:szCs w:val="20"/>
          <w:highlight w:val="white"/>
        </w:rPr>
        <w:t xml:space="preserve">»</w:t>
      </w:r>
      <w:r>
        <w:rPr>
          <w:sz w:val="28"/>
          <w:szCs w:val="20"/>
          <w:highlight w:val="white"/>
        </w:rPr>
        <w:t xml:space="preserve"> и</w:t>
      </w:r>
      <w:r>
        <w:rPr>
          <w:sz w:val="28"/>
          <w:szCs w:val="20"/>
        </w:rPr>
        <w:t xml:space="preserve"> разместить на странице </w:t>
      </w:r>
      <w:r>
        <w:rPr>
          <w:sz w:val="28"/>
          <w:szCs w:val="20"/>
          <w:highlight w:val="none"/>
        </w:rPr>
        <w:t xml:space="preserve">Чернянской</w:t>
      </w:r>
      <w:r>
        <w:rPr>
          <w:sz w:val="28"/>
          <w:szCs w:val="20"/>
        </w:rPr>
        <w:t xml:space="preserve"> территориальной избират</w:t>
      </w:r>
      <w:r>
        <w:rPr>
          <w:sz w:val="28"/>
          <w:szCs w:val="20"/>
        </w:rPr>
        <w:t xml:space="preserve">ельной комиссии на официальном сайте Избирательной к</w:t>
      </w:r>
      <w:r>
        <w:rPr>
          <w:sz w:val="28"/>
          <w:szCs w:val="20"/>
        </w:rPr>
        <w:t xml:space="preserve">омиссии Белгородской области в информационно-телекоммуникационной сети «Интернет».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0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Копию постановле</w:t>
      </w:r>
      <w:r>
        <w:rPr>
          <w:sz w:val="28"/>
          <w:szCs w:val="28"/>
        </w:rPr>
        <w:t xml:space="preserve">ния направить в Избирательную комиссию Белгородской области.</w:t>
      </w:r>
      <w:r>
        <w:rPr>
          <w:sz w:val="28"/>
          <w:szCs w:val="28"/>
        </w:rPr>
      </w:r>
    </w:p>
    <w:p>
      <w:pPr>
        <w:pStyle w:val="905"/>
        <w:pBdr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пос</w:t>
      </w:r>
      <w:r>
        <w:rPr>
          <w:sz w:val="28"/>
          <w:szCs w:val="28"/>
        </w:rPr>
        <w:t xml:space="preserve">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председателя Чернянской</w:t>
      </w:r>
      <w:r>
        <w:rPr>
          <w:sz w:val="28"/>
          <w:szCs w:val="28"/>
        </w:rPr>
        <w:t xml:space="preserve"> территориальной избирательной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А.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Бел</w:t>
      </w:r>
      <w:r>
        <w:rPr>
          <w:sz w:val="28"/>
          <w:szCs w:val="28"/>
          <w:highlight w:val="white"/>
        </w:rPr>
        <w:t xml:space="preserve">анову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91" w:type="dxa"/>
        <w:jc w:val="center"/>
        <w:tblInd w:w="12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0"/>
        <w:gridCol w:w="3907"/>
        <w:gridCol w:w="2404"/>
      </w:tblGrid>
      <w:tr>
        <w:trPr>
          <w:trHeight w:val="9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0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Чернянской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территориальной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  <w:t xml:space="preserve">збирательной комиссии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7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4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И</w:t>
            </w:r>
            <w:r>
              <w:rPr>
                <w:b/>
                <w:sz w:val="28"/>
                <w:szCs w:val="28"/>
                <w:highlight w:val="white"/>
              </w:rPr>
              <w:t xml:space="preserve">.А. Беланова</w:t>
            </w:r>
            <w:r>
              <w:rPr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0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7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4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rPr>
          <w:trHeight w:val="9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0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Чернянской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</w:t>
            </w:r>
            <w:r>
              <w:rPr>
                <w:b/>
                <w:sz w:val="28"/>
                <w:szCs w:val="28"/>
              </w:rPr>
              <w:t xml:space="preserve">ной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  <w:t xml:space="preserve">збирательной комиссии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07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4" w:type="dxa"/>
            <w:vAlign w:val="bottom"/>
            <w:textDirection w:val="lrTb"/>
            <w:noWrap w:val="false"/>
          </w:tcPr>
          <w:p>
            <w:pPr>
              <w:pStyle w:val="905"/>
              <w:pBdr/>
              <w:spacing/>
              <w:ind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С</w:t>
            </w:r>
            <w:r>
              <w:rPr>
                <w:b/>
                <w:sz w:val="28"/>
                <w:szCs w:val="28"/>
                <w:highlight w:val="white"/>
              </w:rPr>
              <w:t xml:space="preserve">.С. Стрекозова</w:t>
            </w:r>
            <w:r>
              <w:rPr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</w:tbl>
    <w:sectPr>
      <w:headerReference w:type="default" r:id="rId8"/>
      <w:footerReference w:type="first" r:id="rId9"/>
      <w:footnotePr/>
      <w:endnotePr/>
      <w:type w:val="nextPage"/>
      <w:pgSz w:h="16840" w:orient="portrait" w:w="11907"/>
      <w:pgMar w:top="1134" w:right="850" w:bottom="1134" w:left="1701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pBdr/>
      <w:spacing/>
      <w:ind/>
      <w:jc w:val="center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framePr w:hAnchor="margin" w:vAnchor="text" w:xAlign="center" w:y="1"/>
      <w:widowControl w:val="true"/>
      <w:pBdr/>
      <w:spacing/>
      <w:ind/>
      <w:rPr>
        <w:rStyle w:val="913"/>
        <w:rFonts w:ascii="Times New Roman CYR" w:hAnsi="Times New Roman CYR"/>
        <w:sz w:val="24"/>
        <w:szCs w:val="24"/>
      </w:rPr>
    </w:pPr>
    <w:r>
      <w:rPr>
        <w:rStyle w:val="913"/>
        <w:rFonts w:ascii="Times New Roman CYR" w:hAnsi="Times New Roman CYR"/>
        <w:sz w:val="24"/>
        <w:szCs w:val="24"/>
      </w:rPr>
      <w:fldChar w:fldCharType="begin"/>
    </w:r>
    <w:r>
      <w:rPr>
        <w:rStyle w:val="913"/>
        <w:rFonts w:ascii="Times New Roman CYR" w:hAnsi="Times New Roman CYR"/>
        <w:sz w:val="24"/>
        <w:szCs w:val="24"/>
      </w:rPr>
      <w:instrText xml:space="preserve">PA</w:instrText>
    </w:r>
    <w:r>
      <w:rPr>
        <w:rStyle w:val="913"/>
        <w:rFonts w:ascii="Times New Roman CYR" w:hAnsi="Times New Roman CYR"/>
        <w:sz w:val="24"/>
        <w:szCs w:val="24"/>
      </w:rPr>
      <w:instrText xml:space="preserve">GE  </w:instrText>
    </w:r>
    <w:r>
      <w:rPr>
        <w:rStyle w:val="913"/>
        <w:rFonts w:ascii="Times New Roman CYR" w:hAnsi="Times New Roman CYR"/>
        <w:sz w:val="24"/>
        <w:szCs w:val="24"/>
      </w:rPr>
      <w:fldChar w:fldCharType="separate"/>
    </w:r>
    <w:r>
      <w:rPr>
        <w:rStyle w:val="913"/>
        <w:rFonts w:ascii="Times New Roman CYR" w:hAnsi="Times New Roman CYR"/>
        <w:sz w:val="24"/>
        <w:szCs w:val="24"/>
      </w:rPr>
      <w:t xml:space="preserve">2</w:t>
    </w:r>
    <w:r>
      <w:rPr>
        <w:rStyle w:val="913"/>
        <w:rFonts w:ascii="Times New Roman CYR" w:hAnsi="Times New Roman CYR"/>
        <w:sz w:val="24"/>
        <w:szCs w:val="24"/>
      </w:rPr>
      <w:fldChar w:fldCharType="end"/>
    </w:r>
    <w:r>
      <w:rPr>
        <w:rStyle w:val="913"/>
        <w:rFonts w:ascii="Times New Roman CYR" w:hAnsi="Times New Roman CYR"/>
        <w:sz w:val="24"/>
        <w:szCs w:val="24"/>
      </w:rPr>
    </w:r>
    <w:r>
      <w:rPr>
        <w:rStyle w:val="913"/>
        <w:rFonts w:ascii="Times New Roman CYR" w:hAnsi="Times New Roman CYR"/>
        <w:sz w:val="24"/>
        <w:szCs w:val="24"/>
      </w:rPr>
    </w:r>
  </w:p>
  <w:p>
    <w:pPr>
      <w:pStyle w:val="912"/>
      <w:widowControl w:val="true"/>
      <w:pBdr/>
      <w:spacing/>
      <w:ind/>
      <w:rPr>
        <w:rFonts w:ascii="Times New Roman CYR" w:hAnsi="Times New Roman CYR"/>
      </w:rPr>
    </w:pPr>
    <w:r>
      <w:rPr>
        <w:rFonts w:ascii="Times New Roman CYR" w:hAnsi="Times New Roman CYR"/>
      </w:rPr>
    </w:r>
    <w:r>
      <w:rPr>
        <w:rFonts w:ascii="Times New Roman CYR" w:hAnsi="Times New Roman CY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>
    <w:name w:val="Heading 1"/>
    <w:basedOn w:val="905"/>
    <w:next w:val="905"/>
    <w:link w:val="72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905"/>
    <w:next w:val="905"/>
    <w:link w:val="73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1">
    <w:name w:val="Heading 3"/>
    <w:basedOn w:val="905"/>
    <w:next w:val="905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905"/>
    <w:next w:val="90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5"/>
    <w:next w:val="90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5"/>
    <w:next w:val="90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5"/>
    <w:next w:val="90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5"/>
    <w:next w:val="90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5"/>
    <w:next w:val="90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746">
    <w:name w:val="No Spacing"/>
    <w:uiPriority w:val="1"/>
    <w:qFormat/>
    <w:pPr>
      <w:pBdr/>
      <w:spacing w:after="0" w:before="0" w:line="240" w:lineRule="auto"/>
      <w:ind/>
    </w:pPr>
  </w:style>
  <w:style w:type="paragraph" w:styleId="747">
    <w:name w:val="Title"/>
    <w:basedOn w:val="905"/>
    <w:next w:val="905"/>
    <w:link w:val="74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8">
    <w:name w:val="Title Char"/>
    <w:link w:val="747"/>
    <w:uiPriority w:val="10"/>
    <w:pPr>
      <w:pBdr/>
      <w:spacing/>
      <w:ind/>
    </w:pPr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0">
    <w:name w:val="Subtitle Char"/>
    <w:link w:val="749"/>
    <w:uiPriority w:val="11"/>
    <w:pPr>
      <w:pBdr/>
      <w:spacing/>
      <w:ind/>
    </w:pPr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pBdr/>
      <w:spacing/>
      <w:ind w:right="720" w:left="720"/>
    </w:pPr>
    <w:rPr>
      <w:i/>
    </w:rPr>
  </w:style>
  <w:style w:type="character" w:styleId="752">
    <w:name w:val="Quote Char"/>
    <w:link w:val="751"/>
    <w:uiPriority w:val="29"/>
    <w:pPr>
      <w:pBdr/>
      <w:spacing/>
      <w:ind/>
    </w:pPr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54">
    <w:name w:val="Intense Quote Char"/>
    <w:link w:val="753"/>
    <w:uiPriority w:val="30"/>
    <w:pPr>
      <w:pBdr/>
      <w:spacing/>
      <w:ind/>
    </w:pPr>
    <w:rPr>
      <w:i/>
    </w:rPr>
  </w:style>
  <w:style w:type="paragraph" w:styleId="755">
    <w:name w:val="Header"/>
    <w:basedOn w:val="905"/>
    <w:link w:val="75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6">
    <w:name w:val="Header Char"/>
    <w:link w:val="755"/>
    <w:uiPriority w:val="99"/>
    <w:pPr>
      <w:pBdr/>
      <w:spacing/>
      <w:ind/>
    </w:pPr>
  </w:style>
  <w:style w:type="paragraph" w:styleId="757">
    <w:name w:val="Footer"/>
    <w:basedOn w:val="905"/>
    <w:link w:val="7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8">
    <w:name w:val="Footer Char"/>
    <w:link w:val="757"/>
    <w:uiPriority w:val="99"/>
    <w:pPr>
      <w:pBdr/>
      <w:spacing/>
      <w:ind/>
    </w:pPr>
  </w:style>
  <w:style w:type="paragraph" w:styleId="759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  <w:pPr>
      <w:pBdr/>
      <w:spacing/>
      <w:ind/>
    </w:pPr>
  </w:style>
  <w:style w:type="table" w:styleId="76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9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2">
    <w:name w:val="Endnote Text Char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5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6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7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8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899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0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1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2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next w:val="905"/>
    <w:link w:val="905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906">
    <w:name w:val="Заголовок 1"/>
    <w:basedOn w:val="905"/>
    <w:next w:val="905"/>
    <w:link w:val="905"/>
    <w:qFormat/>
    <w:pPr>
      <w:keepNext w:val="true"/>
      <w:pBdr/>
      <w:spacing/>
      <w:ind/>
      <w:jc w:val="both"/>
      <w:outlineLvl w:val="0"/>
    </w:pPr>
    <w:rPr>
      <w:b/>
      <w:sz w:val="28"/>
    </w:rPr>
  </w:style>
  <w:style w:type="character" w:styleId="907">
    <w:name w:val="Основной шрифт абзаца"/>
    <w:next w:val="907"/>
    <w:link w:val="905"/>
    <w:semiHidden/>
    <w:pPr>
      <w:pBdr/>
      <w:spacing/>
      <w:ind/>
    </w:pPr>
  </w:style>
  <w:style w:type="table" w:styleId="908">
    <w:name w:val="Обычная таблица"/>
    <w:next w:val="908"/>
    <w:link w:val="905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9">
    <w:name w:val="Нет списка"/>
    <w:next w:val="909"/>
    <w:link w:val="905"/>
    <w:uiPriority w:val="99"/>
    <w:semiHidden/>
    <w:unhideWhenUsed/>
    <w:pPr>
      <w:pBdr/>
      <w:spacing/>
      <w:ind/>
    </w:pPr>
  </w:style>
  <w:style w:type="paragraph" w:styleId="910">
    <w:name w:val="Body Text 22"/>
    <w:basedOn w:val="905"/>
    <w:next w:val="910"/>
    <w:link w:val="905"/>
    <w:uiPriority w:val="99"/>
    <w:pPr>
      <w:widowControl w:val="false"/>
      <w:pBdr/>
      <w:spacing/>
      <w:ind w:right="4535"/>
      <w:jc w:val="both"/>
    </w:pPr>
    <w:rPr>
      <w:sz w:val="28"/>
      <w:szCs w:val="20"/>
    </w:rPr>
  </w:style>
  <w:style w:type="paragraph" w:styleId="911">
    <w:name w:val="Body Text 21"/>
    <w:basedOn w:val="905"/>
    <w:next w:val="911"/>
    <w:link w:val="905"/>
    <w:uiPriority w:val="99"/>
    <w:pPr>
      <w:widowControl w:val="false"/>
      <w:pBdr/>
      <w:spacing/>
      <w:ind/>
      <w:jc w:val="both"/>
    </w:pPr>
    <w:rPr>
      <w:sz w:val="28"/>
      <w:szCs w:val="20"/>
    </w:rPr>
  </w:style>
  <w:style w:type="paragraph" w:styleId="912">
    <w:name w:val="Верхний колонтитул"/>
    <w:basedOn w:val="905"/>
    <w:next w:val="912"/>
    <w:link w:val="905"/>
    <w:semiHidden/>
    <w:pPr>
      <w:widowControl w:val="false"/>
      <w:pBdr/>
      <w:tabs>
        <w:tab w:val="center" w:leader="none" w:pos="4536"/>
        <w:tab w:val="right" w:leader="none" w:pos="9072"/>
      </w:tabs>
      <w:spacing/>
      <w:ind/>
    </w:pPr>
    <w:rPr>
      <w:sz w:val="20"/>
      <w:szCs w:val="20"/>
    </w:rPr>
  </w:style>
  <w:style w:type="character" w:styleId="913">
    <w:name w:val="Номер страницы"/>
    <w:next w:val="913"/>
    <w:link w:val="905"/>
    <w:semiHidden/>
    <w:pPr>
      <w:pBdr/>
      <w:spacing/>
      <w:ind/>
    </w:pPr>
    <w:rPr>
      <w:sz w:val="20"/>
    </w:rPr>
  </w:style>
  <w:style w:type="paragraph" w:styleId="914">
    <w:name w:val="Нижний колонтитул"/>
    <w:basedOn w:val="905"/>
    <w:next w:val="914"/>
    <w:link w:val="905"/>
    <w:semiHidden/>
    <w:pPr>
      <w:widowControl w:val="false"/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915">
    <w:name w:val="Т-14.5"/>
    <w:basedOn w:val="905"/>
    <w:next w:val="915"/>
    <w:link w:val="905"/>
    <w:pPr>
      <w:widowControl w:val="false"/>
      <w:pBdr/>
      <w:spacing w:line="360" w:lineRule="auto"/>
      <w:ind w:firstLine="720"/>
      <w:jc w:val="both"/>
    </w:pPr>
    <w:rPr>
      <w:sz w:val="28"/>
      <w:szCs w:val="20"/>
    </w:rPr>
  </w:style>
  <w:style w:type="paragraph" w:styleId="916">
    <w:name w:val="Основной текст"/>
    <w:basedOn w:val="905"/>
    <w:next w:val="916"/>
    <w:link w:val="919"/>
    <w:semiHidden/>
    <w:pPr>
      <w:pBdr/>
      <w:spacing w:after="120"/>
      <w:ind/>
    </w:pPr>
    <w:rPr>
      <w:sz w:val="20"/>
      <w:szCs w:val="20"/>
    </w:rPr>
  </w:style>
  <w:style w:type="paragraph" w:styleId="917">
    <w:name w:val="ConsPlusNormal"/>
    <w:next w:val="917"/>
    <w:link w:val="90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918">
    <w:name w:val="ConsPlusTitle"/>
    <w:next w:val="918"/>
    <w:link w:val="905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character" w:styleId="919">
    <w:name w:val="Основной текст Знак"/>
    <w:basedOn w:val="907"/>
    <w:next w:val="919"/>
    <w:link w:val="916"/>
    <w:semiHidden/>
    <w:pPr>
      <w:pBdr/>
      <w:spacing/>
      <w:ind/>
    </w:pPr>
  </w:style>
  <w:style w:type="paragraph" w:styleId="920">
    <w:name w:val="O-14.5"/>
    <w:basedOn w:val="905"/>
    <w:next w:val="920"/>
    <w:link w:val="905"/>
    <w:pPr>
      <w:widowControl w:val="false"/>
      <w:pBdr/>
      <w:spacing w:line="360" w:lineRule="auto"/>
      <w:ind w:firstLine="720"/>
      <w:jc w:val="both"/>
    </w:pPr>
    <w:rPr>
      <w:sz w:val="28"/>
      <w:szCs w:val="20"/>
    </w:rPr>
  </w:style>
  <w:style w:type="paragraph" w:styleId="921">
    <w:name w:val="Обычный (веб)"/>
    <w:basedOn w:val="905"/>
    <w:next w:val="921"/>
    <w:link w:val="905"/>
    <w:uiPriority w:val="99"/>
    <w:unhideWhenUsed/>
    <w:pPr>
      <w:pBdr/>
      <w:spacing w:after="100" w:afterAutospacing="1" w:before="100" w:beforeAutospacing="1"/>
      <w:ind/>
    </w:pPr>
  </w:style>
  <w:style w:type="character" w:styleId="922">
    <w:name w:val="Строгий"/>
    <w:next w:val="922"/>
    <w:link w:val="905"/>
    <w:uiPriority w:val="22"/>
    <w:qFormat/>
    <w:pPr>
      <w:pBdr/>
      <w:spacing/>
      <w:ind/>
    </w:pPr>
    <w:rPr>
      <w:b/>
      <w:bCs/>
    </w:rPr>
  </w:style>
  <w:style w:type="character" w:styleId="923">
    <w:name w:val="apple-converted-space"/>
    <w:basedOn w:val="907"/>
    <w:next w:val="923"/>
    <w:link w:val="905"/>
    <w:pPr>
      <w:pBdr/>
      <w:spacing/>
      <w:ind/>
    </w:pPr>
  </w:style>
  <w:style w:type="paragraph" w:styleId="924">
    <w:name w:val="Основной текст 2"/>
    <w:basedOn w:val="905"/>
    <w:next w:val="924"/>
    <w:link w:val="925"/>
    <w:uiPriority w:val="99"/>
    <w:semiHidden/>
    <w:unhideWhenUsed/>
    <w:pPr>
      <w:pBdr/>
      <w:spacing w:after="120" w:line="480" w:lineRule="auto"/>
      <w:ind/>
    </w:pPr>
  </w:style>
  <w:style w:type="character" w:styleId="925">
    <w:name w:val="Основной текст 2 Знак"/>
    <w:next w:val="925"/>
    <w:link w:val="924"/>
    <w:uiPriority w:val="99"/>
    <w:semiHidden/>
    <w:pPr>
      <w:pBdr/>
      <w:spacing/>
      <w:ind/>
    </w:pPr>
    <w:rPr>
      <w:sz w:val="24"/>
      <w:szCs w:val="24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numbering" w:styleId="927" w:default="1">
    <w:name w:val="No List"/>
    <w:uiPriority w:val="99"/>
    <w:semiHidden/>
    <w:unhideWhenUsed/>
    <w:pPr>
      <w:pBdr/>
      <w:spacing/>
      <w:ind/>
    </w:pPr>
  </w:style>
  <w:style w:type="table" w:styleId="92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CROC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revision>59</cp:revision>
  <dcterms:created xsi:type="dcterms:W3CDTF">2020-05-19T13:51:00Z</dcterms:created>
  <dcterms:modified xsi:type="dcterms:W3CDTF">2025-06-16T10:52:23Z</dcterms:modified>
  <cp:version>1048576</cp:version>
</cp:coreProperties>
</file>