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5312" behindDoc="1" locked="0" layoutInCell="1" allowOverlap="1">
                <wp:simplePos x="0" y="0"/>
                <wp:positionH relativeFrom="column">
                  <wp:posOffset>2854665</wp:posOffset>
                </wp:positionH>
                <wp:positionV relativeFrom="paragraph">
                  <wp:posOffset>28700</wp:posOffset>
                </wp:positionV>
                <wp:extent cx="474322" cy="5429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958451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474322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5312;o:allowoverlap:true;o:allowincell:true;mso-position-horizontal-relative:text;margin-left:224.8pt;mso-position-horizontal:absolute;mso-position-vertical-relative:text;margin-top:2.3pt;mso-position-vertical:absolute;width:37.3pt;height:42.8pt;mso-wrap-distance-left:9.1pt;mso-wrap-distance-top:0.0pt;mso-wrap-distance-right:9.1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rPr>
          <w:b/>
          <w:bCs/>
          <w:sz w:val="14"/>
          <w:szCs w:val="1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pStyle w:val="854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</w:r>
      <w:r>
        <w:rPr>
          <w:b/>
          <w:sz w:val="14"/>
          <w:szCs w:val="28"/>
        </w:rPr>
      </w:r>
      <w:r/>
    </w:p>
    <w:p>
      <w:pPr>
        <w:pStyle w:val="859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АДМИНИСТРАЦИ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5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right"/>
        <w:rPr>
          <w:b/>
          <w:bCs/>
          <w:sz w:val="24"/>
          <w:szCs w:val="24"/>
          <w:highlight w:val="white"/>
        </w:rPr>
      </w:pPr>
      <w:r>
        <w:rPr>
          <w:highlight w:val="white"/>
        </w:rPr>
      </w:r>
      <w:r/>
    </w:p>
    <w:p>
      <w:pPr>
        <w:pStyle w:val="854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54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О С Т А Н О В Л </w:t>
      </w:r>
      <w:r>
        <w:rPr>
          <w:b/>
          <w:sz w:val="24"/>
          <w:szCs w:val="24"/>
        </w:rPr>
        <w:t xml:space="preserve">Е Н И Е</w:t>
      </w:r>
      <w:r>
        <w:rPr>
          <w:b/>
          <w:sz w:val="24"/>
          <w:szCs w:val="24"/>
        </w:rPr>
      </w:r>
      <w:r/>
    </w:p>
    <w:p>
      <w:pPr>
        <w:pStyle w:val="854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п. </w:t>
      </w:r>
      <w:r>
        <w:rPr>
          <w:b/>
          <w:sz w:val="22"/>
          <w:szCs w:val="22"/>
        </w:rPr>
        <w:t xml:space="preserve">Чернянка</w:t>
      </w:r>
      <w:r/>
    </w:p>
    <w:p>
      <w:pPr>
        <w:pStyle w:val="854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___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_________</w:t>
      </w:r>
      <w:r>
        <w:rPr>
          <w:b/>
          <w:sz w:val="28"/>
          <w:szCs w:val="28"/>
        </w:rPr>
        <w:t xml:space="preserve">_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____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_____</w:t>
      </w:r>
      <w:r>
        <w:rPr>
          <w:b/>
          <w:color w:val="000000"/>
          <w:sz w:val="28"/>
          <w:szCs w:val="28"/>
        </w:rPr>
      </w:r>
      <w:r/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ind w:left="8789" w:hanging="87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Cs/>
          <w:sz w:val="28"/>
          <w:szCs w:val="28"/>
          <w:highlight w:val="white"/>
        </w:rPr>
      </w:pPr>
      <w:r>
        <w:rPr>
          <w:rStyle w:val="893"/>
          <w:rFonts w:eastAsia="Calibri"/>
          <w:sz w:val="28"/>
          <w:szCs w:val="28"/>
          <w:highlight w:val="white"/>
        </w:rPr>
        <w:t xml:space="preserve">Об </w:t>
      </w:r>
      <w:r>
        <w:rPr>
          <w:rStyle w:val="893"/>
          <w:rFonts w:eastAsia="Calibri"/>
          <w:sz w:val="28"/>
          <w:szCs w:val="28"/>
          <w:highlight w:val="white"/>
        </w:rPr>
        <w:t xml:space="preserve">определении </w:t>
      </w:r>
      <w:r>
        <w:rPr>
          <w:rStyle w:val="893"/>
          <w:rFonts w:eastAsia="Calibri"/>
          <w:sz w:val="28"/>
          <w:szCs w:val="28"/>
          <w:highlight w:val="white"/>
        </w:rPr>
        <w:t xml:space="preserve"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 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Чернянск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ий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 район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»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 </w:t>
      </w:r>
      <w:r>
        <w:rPr>
          <w:rStyle w:val="893"/>
          <w:rFonts w:eastAsia="Calibri"/>
          <w:sz w:val="28"/>
          <w:szCs w:val="28"/>
          <w:highlight w:val="white"/>
          <w:lang w:val="ru-RU"/>
        </w:rPr>
        <w:t xml:space="preserve">Белгородской области</w:t>
      </w:r>
      <w:r>
        <w:rPr>
          <w:highlight w:val="white"/>
        </w:rPr>
      </w:r>
      <w:r/>
    </w:p>
    <w:p>
      <w:pPr>
        <w:pStyle w:val="854"/>
        <w:ind w:left="8789" w:hanging="87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4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тствии с пунктом 8 статьи 16 Федерального закона от 22 ноября 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Федеральным законом от 31.07.2020 г. №247-ФЗ «Об обязательных требованиях в Российской Федерации»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руководствуясь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постано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влением Правительства Российской Федерации от 23 декабря 2020 г</w:t>
      </w:r>
      <w:r>
        <w:rPr>
          <w:rFonts w:ascii="Times New Roman" w:hAnsi="Times New Roman" w:cs="Times New Roman"/>
          <w:bCs/>
          <w:sz w:val="28"/>
          <w:szCs w:val="28"/>
        </w:rPr>
        <w:t xml:space="preserve">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Постановлением Правительства Белгородской области от 26.03.2018 г. N № 91-пп «О реализации отдельных положений статьи 16 Федерального закона от 22 ноября 1995 года №171-ФЗ «О государственном регулировании производства и оборота этилового спирта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алкогольной и спиртосодержащей продукции и об ограничении потребления (распития) алкогольной продукции», Уставом муниципального района «Чернянский район» Белгородской области,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постановлением администрации муниципального района «Чернянский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р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айон» Белгородской области от 25.12.2020 г. №736 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района «Чернянский район» Белгородской области»,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постановлением администрации муниципального района «Чернянский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район» Белгородской области от 09.06.2022 г. №381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заключениями органов государс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твенной власти субъекта Российской Федерации, осуществляющих регулирование в сферах торговой деятельности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24.06.2024 г.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культуры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01.04.2024 г.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образования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14.03.2024 г.</w:t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охраны здоровья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17.04.2024 г.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уполномоченного по защите прав предпринимателей в субъекте Российской Федерации от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14.03.2024 г.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заключением общественных обсуждений от 11.09.2024 г.,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заключением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специальной комиссии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оценке рисков, связанных с принятием </w:t>
      </w:r>
      <w:r>
        <w:rPr>
          <w:rFonts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муниципального правового акта об определении границ прилегающих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территорий, на которых не допускается розничная продажа алкогольной продукции, на территории Чернянского района Белгородской области (далее – Комиссия)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об одобрении проекта муниципального правового акта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от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02.08.202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4 г.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заключением об оценке регулирующего воздействия проекта муниципального нормативного правового акта от 27.09.2024 г.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и в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целях упорядочения розничной продажи алкогольной продукции и розничной продажи алкогольной продукции при оказании услуг общественного питания на территории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район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Белгородской области, администрация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постановля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ет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694"/>
        <w:numPr>
          <w:ilvl w:val="0"/>
          <w:numId w:val="15"/>
        </w:numPr>
        <w:ind w:left="0" w:firstLine="709"/>
        <w:jc w:val="both"/>
        <w:widowControl w:val="off"/>
        <w:tabs>
          <w:tab w:val="left" w:pos="560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Определить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на территории 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район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» Белгородской области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г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раницы прилегающих территорий,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питания, на расстоянии: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0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- 50 метров;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к  зданиям, строениям, сооружениям, помещениям, находящимся во владении и (или) пользовании организаций, осуществляющих обучение несовершеннолетних - 50 метров;</w:t>
      </w:r>
      <w:r>
        <w:rPr>
          <w:highlight w:val="white"/>
        </w:rPr>
      </w:r>
      <w:r/>
    </w:p>
    <w:p>
      <w:pPr>
        <w:pStyle w:val="694"/>
        <w:ind w:left="9" w:firstLine="700"/>
        <w:jc w:val="both"/>
        <w:widowControl w:val="off"/>
        <w:tabs>
          <w:tab w:val="left" w:pos="993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чню, утвержденному Правительством Российской Феде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рации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- 20 метров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к боевым позициям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войск, полигонам, узлам связи, к расположениям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вооружения, а также к зданиям и сооружениям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 - 50 метров;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к вокзалам  - 50 метров;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highlight w:val="non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к  местам   нахождения   источников   повышенной   опасности, определ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яемых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органами государственной власти Белгородской  области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- 50 метров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 Определить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района «Чернянский рай</w:t>
      </w:r>
      <w:r>
        <w:rPr>
          <w:sz w:val="28"/>
          <w:szCs w:val="28"/>
        </w:rPr>
        <w:t xml:space="preserve">он» Белгородской области границы прилегающих территорий, на которых не допускается розничная продажа алкогольной продукции, на расстоянии 50 метров к спортивным сооружениям, которые являются объектами недвижимости и права на которые зарегистрированы в уста</w:t>
      </w:r>
      <w:r>
        <w:rPr>
          <w:sz w:val="28"/>
          <w:szCs w:val="28"/>
        </w:rPr>
        <w:t xml:space="preserve">новленном порядке. </w:t>
      </w: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highlight w:val="none"/>
        </w:rPr>
        <w:t xml:space="preserve">Определить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 при оказании услуг общественного питания, на расстоянии 50 метров к спортивн</w:t>
      </w:r>
      <w:r>
        <w:rPr>
          <w:sz w:val="28"/>
          <w:szCs w:val="28"/>
        </w:rPr>
        <w:t xml:space="preserve">ым сооружениям, которые являются объектами недвижимости и права на которые зарегистрированы в установленном порядке, во время проведения в них детско-юношеских спортивных мероприятий. </w:t>
      </w:r>
      <w:r>
        <w:rPr>
          <w:sz w:val="28"/>
          <w:szCs w:val="28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4.Определить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 на территории 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район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» Белгородской области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г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раницы прилегающих территорий,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на которых не допускается розничная продажа алкогольной продукции в объектах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общественного питания с залом обслуживания посетителей общей площадью менее установленной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Федеральным законом от 2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или законом Белгородской области в случае его принятия,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к многоквартирным домам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на расстоянии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- 50 метров.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Утвердить на территории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следующий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порядок определения границ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прилегающих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 Расчёт расстояния от границ территорий, прилегающих к зданиям, строениям, сооружениям, помещениям,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указанным в п.1-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постановления,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объектов торговли или объектов общественного питания осуществляется:</w:t>
      </w:r>
      <w:r>
        <w:rPr>
          <w:highlight w:val="white"/>
        </w:rPr>
      </w:r>
      <w:r/>
    </w:p>
    <w:p>
      <w:pPr>
        <w:pStyle w:val="854"/>
        <w:ind w:firstLine="708"/>
        <w:jc w:val="both"/>
        <w:keepLines w:val="0"/>
        <w:keepNext w:val="0"/>
        <w:widowControl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 w:eastAsia="ru-RU" w:bidi="ar-SA"/>
        </w:rPr>
        <w:t xml:space="preserve">а) </w:t>
      </w:r>
      <w:r>
        <w:rPr>
          <w:sz w:val="28"/>
          <w:szCs w:val="28"/>
        </w:rPr>
        <w:t xml:space="preserve">при наличии обособленной территории - от ближайшего </w:t>
      </w:r>
      <w:r>
        <w:rPr>
          <w:sz w:val="28"/>
          <w:szCs w:val="28"/>
        </w:rPr>
        <w:t xml:space="preserve">входа для посетителей на обособленную территорию до ближайшего входа для посетителей в торговый объект или объект общественного питания; </w:t>
      </w:r>
      <w:r>
        <w:rPr>
          <w:sz w:val="28"/>
          <w:szCs w:val="28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б) при отсутствии обособленной территории - от б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лижайшего входа для посетителей в здание (строение, сооружение), помещение, в которых расположены объекты и (или) организации, перечисленные в пунктах 1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-3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 w:eastAsia="ru-RU" w:bidi="ar-SA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постановления, до ближайшего входа для посетителей в торговый объект или объект общественного питания.</w:t>
      </w:r>
      <w:r>
        <w:rPr>
          <w:highlight w:val="white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Пожарные, запасные и иные входы (выходы) в здания, строения, сооружения,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помещения,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которые не предназначены для входа (выхода) посетителей, при определении границ прилегающих территорий не учитываются.</w:t>
      </w:r>
      <w:r>
        <w:rPr>
          <w:highlight w:val="white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Под обособленной территорией понимается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fldChar w:fldCharType="begin"/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instrText xml:space="preserve"> HYPERLINK \l "Par0" </w:instrTex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fldChar w:fldCharType="separate"/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пунктах 1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fldChar w:fldCharType="end"/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-3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настоящего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постановления.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9" w:firstLine="700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Расчет расстояния от объектов, указанных в пункте 4 настоящего постанов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ления, осуществляется от входа в ближайший подъезд многоквартирного дома до ближайшего входа для посетителей в объект общественного питания, осуществляющий розничную продажу алкогольной продукции и имеющий зал обслуживания посетителей общей площадью менее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установленной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Федеральным законом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или законом Белгородской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случае его принятия.</w:t>
      </w:r>
      <w:r>
        <w:rPr>
          <w:highlight w:val="white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5.3.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Замер расстояний осуществляется с учётом сложившейся системы дорог, тротуаров, пешеходных путей (при их отсутствии - по обочинам, велосипедным дорожкам, краям проезжей части) по кратчайшему маршруту движения пешехода от входа для посетителей на обос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обленную территорию (при её наличии) или в здание (строение, сооружение), помещение, в котором расположены перечисленные в пунктах 1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-4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настоящего постановления объекты, до ближайшего входа для посетителей в торговый объект или объект общественного питания.</w:t>
      </w:r>
      <w:r>
        <w:rPr>
          <w:highlight w:val="white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При пересечении пешеходной зоны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 проезжей частью расстояние измеряется в жилой зоне, в том числе на дворовых территориях, по маршруту движения пешеходов, как по тротуарам, так и по проезжей части, за пределами жилой зоны и (или) дворовых территорий - по ближайшему пешеходному переходу.</w:t>
      </w:r>
      <w:r>
        <w:rPr>
          <w:highlight w:val="white"/>
        </w:rPr>
      </w:r>
      <w:r/>
    </w:p>
    <w:p>
      <w:pPr>
        <w:pStyle w:val="854"/>
        <w:numPr>
          <w:ilvl w:val="0"/>
          <w:numId w:val="0"/>
        </w:numPr>
        <w:ind w:left="9"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5.4.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</w:rPr>
        <w:t xml:space="preserve">В случае, если организации, указанные в абзаце третьем пункта 1, юридические лица независимо от организационно-правовой формы, индивидуальные предприниматели, указанные в </w:t>
      </w:r>
      <w:r>
        <w:rPr>
          <w:sz w:val="28"/>
          <w:szCs w:val="28"/>
        </w:rPr>
        <w:t xml:space="preserve">абзаце четвертом пункта 1</w:t>
      </w:r>
      <w:r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 xml:space="preserve">становления, и торговые объекты или объекты общественного питания находятся в одном здании (строении, сооружении) многофункционального назначения с общим входом для посетителей, расчет расстояния производится по кратчайшему пути (в том числе с использовани</w:t>
      </w:r>
      <w:r>
        <w:rPr>
          <w:sz w:val="28"/>
          <w:szCs w:val="28"/>
        </w:rPr>
        <w:t xml:space="preserve">ем лифтов и лестничных пролетов) внутри здания (строения, сооружения) от входа в помещения, в которых расположены организации, указанные в абзаце третьем пункта 1, юридические лица независимо от организационно-правовой формы, индивидуальные предприниматели</w:t>
      </w:r>
      <w:r>
        <w:rPr>
          <w:sz w:val="28"/>
          <w:szCs w:val="28"/>
        </w:rPr>
        <w:t xml:space="preserve">, указанные в </w:t>
      </w:r>
      <w:r>
        <w:rPr>
          <w:sz w:val="28"/>
          <w:szCs w:val="28"/>
        </w:rPr>
        <w:t xml:space="preserve">абзаце четвертом пункта 1</w:t>
      </w:r>
      <w:r>
        <w:rPr>
          <w:sz w:val="28"/>
          <w:szCs w:val="28"/>
        </w:rPr>
        <w:t xml:space="preserve"> настоящего постановления, до входа для посетителей в торговый объект или объект общественного питания. </w:t>
      </w:r>
      <w:r>
        <w:rPr>
          <w:sz w:val="28"/>
          <w:szCs w:val="28"/>
        </w:rPr>
      </w:r>
      <w:r/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6. Экономическому управлению админ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истрации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(Саркисян Е.Н.):</w:t>
      </w:r>
      <w:r>
        <w:rPr>
          <w:highlight w:val="white"/>
        </w:rPr>
      </w:r>
      <w:r/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аправить копию настоящего постановления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Министерство сельского хозяйства и продовольствия Белгородской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не позднее 30 календарных дней со дня  принятия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;</w:t>
      </w:r>
      <w:r>
        <w:rPr>
          <w:highlight w:val="white"/>
        </w:rPr>
      </w:r>
      <w:r/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информировать (довести до сведения) о принятии настоящего постановления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организации, осуществляющие розничную продажу алкогольной продукции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индивидуальных предпринимателей,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сведения о которых поступили администрацию муниципального района «Чернянский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район» Белгородской области в соответствии с порядком информирования органов местного самоуправления муниципальных образований Белгородской области о расположенных на их территории хозяйствующих субъектах, осуществляющих розничную продажу алкогольной проду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кции на территории Белгородской области;</w:t>
      </w:r>
      <w:r>
        <w:rPr>
          <w:highlight w:val="white"/>
        </w:rPr>
      </w:r>
      <w:r/>
    </w:p>
    <w:p>
      <w:pPr>
        <w:ind w:lef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/>
        </w:rPr>
        <w:t xml:space="preserve">7.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 Признать утратившими силу: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694"/>
        <w:numPr>
          <w:ilvl w:val="0"/>
          <w:numId w:val="0"/>
        </w:numPr>
        <w:ind w:left="0" w:right="0" w:firstLine="709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-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fldChar w:fldCharType="begin"/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instrText xml:space="preserve"> HYPERLINK "https://login.consultant.ru/link/?req=doc&amp;base=RLAW404&amp;n=17225&amp;date=28.06.2022" </w:instrTex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fldChar w:fldCharType="separate"/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ru-RU"/>
        </w:rPr>
        <w:t xml:space="preserve">постановление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fldChar w:fldCharType="end"/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t xml:space="preserve"> администрации муниципального района “Чернянский район” Белгородской области от 20.06.2013г. № 619 “Об утверждении перечня орг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t xml:space="preserve">анизаций, объектов, мест массового скопления граждан, на территории которых не допускается розничная продажа алкогольной продукции, а также определении границ прилегающих к ним территорий, на которых не допускается розничная продажа алкогольной продукции”;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0" w:right="0" w:firstLine="709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  <w:lang w:val="ru-RU" w:eastAsia="zh-CN"/>
        </w:rPr>
        <w:t xml:space="preserve">-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t xml:space="preserve">постановление администрации муниципального района "Чернянский </w:t>
      </w:r>
      <w:r>
        <w:rPr>
          <w:rFonts w:ascii="Times New Roman" w:hAnsi="Times New Roman" w:eastAsia="SimSun" w:cs="Times New Roman"/>
          <w:sz w:val="28"/>
          <w:szCs w:val="28"/>
          <w:highlight w:val="white"/>
          <w:lang w:val="en-US" w:eastAsia="zh-CN"/>
        </w:rPr>
        <w:t xml:space="preserve">район" Белгородской области от 30.07.2013 № 722 "Об утверждении схем границ территорий, прилегающих к организациям и объектам, на которых не допускается розничная продажа алкогольной продукции"; </w:t>
      </w:r>
      <w:r>
        <w:rPr>
          <w:highlight w:val="white"/>
        </w:rPr>
      </w:r>
      <w:r/>
    </w:p>
    <w:p>
      <w:pPr>
        <w:pStyle w:val="694"/>
        <w:numPr>
          <w:ilvl w:val="0"/>
          <w:numId w:val="0"/>
        </w:numPr>
        <w:ind w:left="0" w:right="0" w:firstLine="709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- постановление администрации муниципального района «Чернянский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район» Белгородской области от 28 марта 2014 года № 313/1 «О внесении изменений и дополнений в постановление </w:t>
      </w:r>
      <w:r>
        <w:rPr>
          <w:rFonts w:ascii="Times New Roman" w:hAnsi="Times New Roman" w:eastAsia="SimSun" w:cs="Times New Roman"/>
          <w:sz w:val="28"/>
          <w:szCs w:val="28"/>
          <w:lang w:val="en-US" w:eastAsia="zh-CN"/>
        </w:rPr>
        <w:t xml:space="preserve">от 20.06.2013г. № 619 “Об утверждении перечня ор</w:t>
      </w:r>
      <w:r>
        <w:rPr>
          <w:rFonts w:ascii="Times New Roman" w:hAnsi="Times New Roman" w:eastAsia="SimSun" w:cs="Times New Roman"/>
          <w:sz w:val="28"/>
          <w:szCs w:val="28"/>
          <w:lang w:val="en-US" w:eastAsia="zh-CN"/>
        </w:rPr>
        <w:t xml:space="preserve">ганизаций, объектов, мест массового скопления граждан, на территории которых не допускается розничная продажа алкогольной продукции, а также определении границ прилегающих к ним территорий, на которых не допускается розничная продажа алкогольной продукции”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постановление администрации муниципального района «Чернянский рай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он» Белгородской области от 1 апреля 2014 № 348/1 «О внесении изменений и дополнений в постановления администрации муниципального района «Чернянский район» Белгородской области от 20 июня 2013 г. № 619, от 30 июля 2013г. № 722, от 28 марта 2014г. № 313/1».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районной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 газете «Приосколье»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сетевом издании «Приосколье 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(адрес сайта: http://www.GAZETA-PRIOSKOLYE.RU)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(адрес сайта: </w:t>
      </w:r>
      <w:hyperlink r:id="rId10" w:tooltip="https://chernyanskijrajon-r31.gosweb.gosuslugi.ru)." w:history="1">
        <w:r>
          <w:rPr>
            <w:rStyle w:val="867"/>
            <w:rFonts w:ascii="Times New Roman" w:hAnsi="Times New Roman" w:cs="Times New Roman"/>
            <w:sz w:val="28"/>
            <w:szCs w:val="28"/>
            <w:highlight w:val="white"/>
          </w:rPr>
          <w:t xml:space="preserve">https://chernyanskijrajon-r31.gosweb.gosuslugi.ru)</w:t>
        </w:r>
        <w:r>
          <w:rPr>
            <w:rStyle w:val="867"/>
            <w:rFonts w:ascii="Times New Roman" w:hAnsi="Times New Roman" w:cs="Times New Roman"/>
            <w:sz w:val="28"/>
            <w:szCs w:val="28"/>
            <w:highlight w:val="white"/>
            <w:lang w:val="ru-RU"/>
          </w:rPr>
          <w:t xml:space="preserve">.</w:t>
        </w:r>
        <w:r>
          <w:rPr>
            <w:rStyle w:val="867"/>
            <w:highlight w:val="white"/>
          </w:rPr>
        </w:r>
        <w:r>
          <w:rPr>
            <w:rStyle w:val="867"/>
          </w:rPr>
        </w:r>
      </w:hyperlink>
      <w:r/>
      <w:r/>
    </w:p>
    <w:p>
      <w:pPr>
        <w:ind w:left="0" w:firstLine="0"/>
        <w:jc w:val="both"/>
        <w:rPr>
          <w:sz w:val="28"/>
          <w:szCs w:val="28"/>
          <w:highlight w:val="white"/>
        </w:rPr>
      </w:pPr>
      <w:r>
        <w:rPr>
          <w:highlight w:val="none"/>
        </w:rPr>
        <w:t xml:space="preserve">       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 Настоящее постановление вступает в силу с 1 марта 2025 года</w:t>
      </w:r>
      <w:r>
        <w:rPr>
          <w:sz w:val="28"/>
          <w:szCs w:val="28"/>
          <w:highlight w:val="none"/>
        </w:rPr>
        <w:t xml:space="preserve"> и действует до 28 февраля 2031 года</w:t>
      </w:r>
      <w:r>
        <w:rPr>
          <w:sz w:val="28"/>
          <w:szCs w:val="28"/>
          <w:highlight w:val="none"/>
        </w:rPr>
        <w:t xml:space="preserve">.</w:t>
      </w:r>
      <w:r>
        <w:rPr>
          <w:highlight w:val="white"/>
        </w:rPr>
      </w:r>
      <w:r/>
    </w:p>
    <w:p>
      <w:pPr>
        <w:pStyle w:val="894"/>
        <w:ind w:right="-16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10. Кон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Чернянский район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экономическому развитию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Белянская Н.М.). </w:t>
      </w:r>
      <w:r>
        <w:rPr>
          <w:highlight w:val="white"/>
        </w:rPr>
      </w:r>
      <w:r/>
    </w:p>
    <w:p>
      <w:pPr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854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лав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</w:r>
      <w:r/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Т.П. Круглякова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</w:r>
      <w:r/>
    </w:p>
    <w:sectPr>
      <w:footnotePr/>
      <w:endnotePr/>
      <w:type w:val="nextPage"/>
      <w:pgSz w:w="11907" w:h="16834" w:orient="portrait"/>
      <w:pgMar w:top="851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00506000000020000"/>
  </w:font>
  <w:font w:name="Times New Roman">
    <w:panose1 w:val="02020603050405020304"/>
  </w:font>
  <w:font w:name="Franklin Gothic Heavy">
    <w:panose1 w:val="020B0703020202020204"/>
  </w:font>
  <w:font w:name="Bookman Old Style">
    <w:panose1 w:val="02060603050605020204"/>
  </w:font>
  <w:font w:name="SimHei">
    <w:panose1 w:val="02000506000000020000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854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854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>
        <w:pStyle w:val="854"/>
      </w:pPr>
    </w:lvl>
    <w:lvl w:ilvl="3">
      <w:start w:val="0"/>
      <w:numFmt w:val="decimal"/>
      <w:isLgl w:val="false"/>
      <w:suff w:val="tab"/>
      <w:lvlText w:val=""/>
      <w:lvlJc w:val="left"/>
      <w:pPr>
        <w:pStyle w:val="854"/>
      </w:pPr>
    </w:lvl>
    <w:lvl w:ilvl="4">
      <w:start w:val="0"/>
      <w:numFmt w:val="decimal"/>
      <w:isLgl w:val="false"/>
      <w:suff w:val="tab"/>
      <w:lvlText w:val=""/>
      <w:lvlJc w:val="left"/>
      <w:pPr>
        <w:pStyle w:val="854"/>
      </w:pPr>
    </w:lvl>
    <w:lvl w:ilvl="5">
      <w:start w:val="0"/>
      <w:numFmt w:val="decimal"/>
      <w:isLgl w:val="false"/>
      <w:suff w:val="tab"/>
      <w:lvlText w:val=""/>
      <w:lvlJc w:val="left"/>
      <w:pPr>
        <w:pStyle w:val="854"/>
      </w:pPr>
    </w:lvl>
    <w:lvl w:ilvl="6">
      <w:start w:val="0"/>
      <w:numFmt w:val="decimal"/>
      <w:isLgl w:val="false"/>
      <w:suff w:val="tab"/>
      <w:lvlText w:val=""/>
      <w:lvlJc w:val="left"/>
      <w:pPr>
        <w:pStyle w:val="854"/>
      </w:pPr>
    </w:lvl>
    <w:lvl w:ilvl="7">
      <w:start w:val="0"/>
      <w:numFmt w:val="decimal"/>
      <w:isLgl w:val="false"/>
      <w:suff w:val="tab"/>
      <w:lvlText w:val=""/>
      <w:lvlJc w:val="left"/>
      <w:pPr>
        <w:pStyle w:val="854"/>
      </w:pPr>
    </w:lvl>
    <w:lvl w:ilvl="8">
      <w:start w:val="0"/>
      <w:numFmt w:val="decimal"/>
      <w:isLgl w:val="false"/>
      <w:suff w:val="tab"/>
      <w:lvlText w:val=""/>
      <w:lvlJc w:val="left"/>
      <w:pPr>
        <w:pStyle w:val="854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54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54"/>
      </w:pPr>
    </w:lvl>
    <w:lvl w:ilvl="2">
      <w:start w:val="0"/>
      <w:numFmt w:val="decimal"/>
      <w:isLgl w:val="false"/>
      <w:suff w:val="tab"/>
      <w:lvlText w:val=""/>
      <w:lvlJc w:val="left"/>
      <w:pPr>
        <w:pStyle w:val="854"/>
      </w:pPr>
    </w:lvl>
    <w:lvl w:ilvl="3">
      <w:start w:val="0"/>
      <w:numFmt w:val="decimal"/>
      <w:isLgl w:val="false"/>
      <w:suff w:val="tab"/>
      <w:lvlText w:val=""/>
      <w:lvlJc w:val="left"/>
      <w:pPr>
        <w:pStyle w:val="854"/>
      </w:pPr>
    </w:lvl>
    <w:lvl w:ilvl="4">
      <w:start w:val="0"/>
      <w:numFmt w:val="decimal"/>
      <w:isLgl w:val="false"/>
      <w:suff w:val="tab"/>
      <w:lvlText w:val=""/>
      <w:lvlJc w:val="left"/>
      <w:pPr>
        <w:pStyle w:val="854"/>
      </w:pPr>
    </w:lvl>
    <w:lvl w:ilvl="5">
      <w:start w:val="0"/>
      <w:numFmt w:val="decimal"/>
      <w:isLgl w:val="false"/>
      <w:suff w:val="tab"/>
      <w:lvlText w:val=""/>
      <w:lvlJc w:val="left"/>
      <w:pPr>
        <w:pStyle w:val="854"/>
      </w:pPr>
    </w:lvl>
    <w:lvl w:ilvl="6">
      <w:start w:val="0"/>
      <w:numFmt w:val="decimal"/>
      <w:isLgl w:val="false"/>
      <w:suff w:val="tab"/>
      <w:lvlText w:val=""/>
      <w:lvlJc w:val="left"/>
      <w:pPr>
        <w:pStyle w:val="854"/>
      </w:pPr>
    </w:lvl>
    <w:lvl w:ilvl="7">
      <w:start w:val="0"/>
      <w:numFmt w:val="decimal"/>
      <w:isLgl w:val="false"/>
      <w:suff w:val="tab"/>
      <w:lvlText w:val=""/>
      <w:lvlJc w:val="left"/>
      <w:pPr>
        <w:pStyle w:val="854"/>
      </w:pPr>
    </w:lvl>
    <w:lvl w:ilvl="8">
      <w:start w:val="0"/>
      <w:numFmt w:val="decimal"/>
      <w:isLgl w:val="false"/>
      <w:suff w:val="tab"/>
      <w:lvlText w:val=""/>
      <w:lvlJc w:val="left"/>
      <w:pPr>
        <w:pStyle w:val="854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85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54"/>
      </w:pPr>
    </w:lvl>
    <w:lvl w:ilvl="2">
      <w:start w:val="0"/>
      <w:numFmt w:val="decimal"/>
      <w:isLgl w:val="false"/>
      <w:suff w:val="tab"/>
      <w:lvlText w:val=""/>
      <w:lvlJc w:val="left"/>
      <w:pPr>
        <w:pStyle w:val="854"/>
      </w:pPr>
    </w:lvl>
    <w:lvl w:ilvl="3">
      <w:start w:val="0"/>
      <w:numFmt w:val="decimal"/>
      <w:isLgl w:val="false"/>
      <w:suff w:val="tab"/>
      <w:lvlText w:val=""/>
      <w:lvlJc w:val="left"/>
      <w:pPr>
        <w:pStyle w:val="854"/>
      </w:pPr>
    </w:lvl>
    <w:lvl w:ilvl="4">
      <w:start w:val="0"/>
      <w:numFmt w:val="decimal"/>
      <w:isLgl w:val="false"/>
      <w:suff w:val="tab"/>
      <w:lvlText w:val=""/>
      <w:lvlJc w:val="left"/>
      <w:pPr>
        <w:pStyle w:val="854"/>
      </w:pPr>
    </w:lvl>
    <w:lvl w:ilvl="5">
      <w:start w:val="0"/>
      <w:numFmt w:val="decimal"/>
      <w:isLgl w:val="false"/>
      <w:suff w:val="tab"/>
      <w:lvlText w:val=""/>
      <w:lvlJc w:val="left"/>
      <w:pPr>
        <w:pStyle w:val="854"/>
      </w:pPr>
    </w:lvl>
    <w:lvl w:ilvl="6">
      <w:start w:val="0"/>
      <w:numFmt w:val="decimal"/>
      <w:isLgl w:val="false"/>
      <w:suff w:val="tab"/>
      <w:lvlText w:val=""/>
      <w:lvlJc w:val="left"/>
      <w:pPr>
        <w:pStyle w:val="854"/>
      </w:pPr>
    </w:lvl>
    <w:lvl w:ilvl="7">
      <w:start w:val="0"/>
      <w:numFmt w:val="decimal"/>
      <w:isLgl w:val="false"/>
      <w:suff w:val="tab"/>
      <w:lvlText w:val=""/>
      <w:lvlJc w:val="left"/>
      <w:pPr>
        <w:pStyle w:val="854"/>
      </w:pPr>
    </w:lvl>
    <w:lvl w:ilvl="8">
      <w:start w:val="0"/>
      <w:numFmt w:val="decimal"/>
      <w:isLgl w:val="false"/>
      <w:suff w:val="tab"/>
      <w:lvlText w:val=""/>
      <w:lvlJc w:val="left"/>
      <w:pPr>
        <w:pStyle w:val="854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6828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5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54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854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854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854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854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854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854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854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>
        <w:pStyle w:val="854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pStyle w:val="854"/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54"/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54"/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54"/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54"/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54"/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pStyle w:val="854"/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54"/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54"/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54"/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54"/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4"/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4"/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4"/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pStyle w:val="854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pStyle w:val="865"/>
      <w:isLgl w:val="false"/>
      <w:suff w:val="tab"/>
      <w:lvlText w:val="%1."/>
      <w:lvlJc w:val="left"/>
      <w:pPr>
        <w:pStyle w:val="854"/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pStyle w:val="854"/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54"/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54"/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54"/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54"/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4"/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4"/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4"/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854"/>
        </w:pPr>
        <w:rPr>
          <w:rFonts w:ascii="Times New Roman" w:hAnsi="Times New Roman" w:cs="Times New Roman"/>
        </w:rPr>
      </w:lvl>
    </w:lvlOverride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widowControl w:val="off"/>
    </w:pPr>
    <w:rPr>
      <w:lang w:val="ru-RU" w:eastAsia="ru-RU" w:bidi="ar-SA"/>
    </w:rPr>
  </w:style>
  <w:style w:type="paragraph" w:styleId="855">
    <w:name w:val="Заголовок 2"/>
    <w:basedOn w:val="854"/>
    <w:next w:val="854"/>
    <w:link w:val="866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856">
    <w:name w:val="Основной шрифт абзаца"/>
    <w:next w:val="856"/>
    <w:link w:val="854"/>
    <w:semiHidden/>
  </w:style>
  <w:style w:type="table" w:styleId="857">
    <w:name w:val="Обычная таблица"/>
    <w:next w:val="857"/>
    <w:link w:val="854"/>
    <w:semiHidden/>
    <w:tblPr/>
  </w:style>
  <w:style w:type="numbering" w:styleId="858">
    <w:name w:val="Нет списка"/>
    <w:next w:val="858"/>
    <w:link w:val="854"/>
    <w:semiHidden/>
  </w:style>
  <w:style w:type="paragraph" w:styleId="859">
    <w:name w:val="Название объекта"/>
    <w:basedOn w:val="854"/>
    <w:next w:val="854"/>
    <w:link w:val="854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60">
    <w:name w:val="Сетка таблицы"/>
    <w:basedOn w:val="857"/>
    <w:next w:val="860"/>
    <w:link w:val="854"/>
    <w:pPr>
      <w:widowControl w:val="off"/>
    </w:pPr>
    <w:tblPr/>
  </w:style>
  <w:style w:type="paragraph" w:styleId="861">
    <w:name w:val="Базовый"/>
    <w:next w:val="861"/>
    <w:link w:val="854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62">
    <w:name w:val="Текст"/>
    <w:basedOn w:val="861"/>
    <w:next w:val="862"/>
    <w:link w:val="854"/>
    <w:pPr>
      <w:spacing w:before="100" w:after="100"/>
    </w:pPr>
    <w:rPr>
      <w:sz w:val="24"/>
      <w:szCs w:val="24"/>
    </w:rPr>
  </w:style>
  <w:style w:type="paragraph" w:styleId="863">
    <w:name w:val="ConsPlusNormal"/>
    <w:next w:val="863"/>
    <w:link w:val="854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864">
    <w:name w:val="Обычный 1"/>
    <w:basedOn w:val="861"/>
    <w:next w:val="864"/>
    <w:link w:val="854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65">
    <w:name w:val="Обычный 1 Многоуровневый нумерованный"/>
    <w:basedOn w:val="861"/>
    <w:next w:val="865"/>
    <w:link w:val="854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66">
    <w:name w:val="Заголовок 2 Знак"/>
    <w:next w:val="866"/>
    <w:link w:val="855"/>
    <w:rPr>
      <w:i/>
      <w:sz w:val="28"/>
      <w:lang w:val="en-US" w:eastAsia="en-US"/>
    </w:rPr>
  </w:style>
  <w:style w:type="character" w:styleId="867">
    <w:name w:val="Гиперссылка"/>
    <w:next w:val="867"/>
    <w:link w:val="854"/>
    <w:rPr>
      <w:color w:val="0066cc"/>
      <w:u w:val="single"/>
    </w:rPr>
  </w:style>
  <w:style w:type="character" w:styleId="868">
    <w:name w:val="Основной текст_"/>
    <w:next w:val="868"/>
    <w:link w:val="872"/>
    <w:rPr>
      <w:spacing w:val="10"/>
      <w:sz w:val="21"/>
      <w:szCs w:val="21"/>
      <w:shd w:val="clear" w:color="auto" w:fill="ffffff"/>
    </w:rPr>
  </w:style>
  <w:style w:type="character" w:styleId="869">
    <w:name w:val="Основной текст + Полужирный"/>
    <w:next w:val="869"/>
    <w:link w:val="854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0">
    <w:name w:val="Основной текст1"/>
    <w:next w:val="870"/>
    <w:link w:val="854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1">
    <w:name w:val="Основной текст + SimHei;Интервал 0 pt"/>
    <w:next w:val="871"/>
    <w:link w:val="854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72">
    <w:name w:val="Основной текст2"/>
    <w:basedOn w:val="854"/>
    <w:next w:val="872"/>
    <w:link w:val="868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73">
    <w:name w:val="Основной текст (4) Exact"/>
    <w:next w:val="873"/>
    <w:link w:val="874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74">
    <w:name w:val="Основной текст (4)"/>
    <w:basedOn w:val="854"/>
    <w:next w:val="874"/>
    <w:link w:val="873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75">
    <w:name w:val="Верхний колонтитул"/>
    <w:basedOn w:val="854"/>
    <w:next w:val="875"/>
    <w:link w:val="876"/>
    <w:pPr>
      <w:tabs>
        <w:tab w:val="center" w:pos="4677" w:leader="none"/>
        <w:tab w:val="right" w:pos="9355" w:leader="none"/>
      </w:tabs>
    </w:pPr>
  </w:style>
  <w:style w:type="character" w:styleId="876">
    <w:name w:val="Верхний колонтитул Знак"/>
    <w:basedOn w:val="856"/>
    <w:next w:val="876"/>
    <w:link w:val="875"/>
  </w:style>
  <w:style w:type="paragraph" w:styleId="877">
    <w:name w:val="Нижний колонтитул"/>
    <w:basedOn w:val="854"/>
    <w:next w:val="877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basedOn w:val="856"/>
    <w:next w:val="878"/>
    <w:link w:val="877"/>
  </w:style>
  <w:style w:type="paragraph" w:styleId="879">
    <w:name w:val="Style11"/>
    <w:basedOn w:val="854"/>
    <w:next w:val="879"/>
    <w:link w:val="854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0">
    <w:name w:val="Style12"/>
    <w:basedOn w:val="854"/>
    <w:next w:val="880"/>
    <w:link w:val="854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881">
    <w:name w:val="Font Style21"/>
    <w:next w:val="881"/>
    <w:link w:val="85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82">
    <w:name w:val="Font Style22"/>
    <w:next w:val="882"/>
    <w:link w:val="854"/>
    <w:uiPriority w:val="99"/>
    <w:rPr>
      <w:rFonts w:ascii="Times New Roman" w:hAnsi="Times New Roman" w:cs="Times New Roman"/>
      <w:sz w:val="26"/>
      <w:szCs w:val="26"/>
    </w:rPr>
  </w:style>
  <w:style w:type="paragraph" w:styleId="883">
    <w:name w:val="Основной текст"/>
    <w:basedOn w:val="854"/>
    <w:next w:val="883"/>
    <w:link w:val="884"/>
    <w:pPr>
      <w:spacing w:after="120"/>
    </w:pPr>
  </w:style>
  <w:style w:type="character" w:styleId="884">
    <w:name w:val="Основной текст Знак"/>
    <w:basedOn w:val="856"/>
    <w:next w:val="884"/>
    <w:link w:val="883"/>
  </w:style>
  <w:style w:type="paragraph" w:styleId="885">
    <w:name w:val="Основной текст с отступом"/>
    <w:basedOn w:val="854"/>
    <w:next w:val="885"/>
    <w:link w:val="886"/>
    <w:uiPriority w:val="99"/>
    <w:unhideWhenUsed/>
    <w:pPr>
      <w:ind w:left="283"/>
      <w:spacing w:after="120"/>
      <w:widowControl/>
    </w:pPr>
    <w:rPr>
      <w:i/>
      <w:sz w:val="28"/>
      <w:szCs w:val="28"/>
    </w:rPr>
  </w:style>
  <w:style w:type="character" w:styleId="886">
    <w:name w:val="Основной текст с отступом Знак"/>
    <w:basedOn w:val="856"/>
    <w:next w:val="886"/>
    <w:link w:val="885"/>
    <w:uiPriority w:val="99"/>
    <w:rPr>
      <w:i/>
      <w:sz w:val="28"/>
      <w:szCs w:val="28"/>
    </w:rPr>
  </w:style>
  <w:style w:type="paragraph" w:styleId="887">
    <w:name w:val="Основной текст 2"/>
    <w:basedOn w:val="854"/>
    <w:next w:val="887"/>
    <w:link w:val="888"/>
    <w:pPr>
      <w:spacing w:after="120" w:line="480" w:lineRule="auto"/>
    </w:pPr>
  </w:style>
  <w:style w:type="character" w:styleId="888">
    <w:name w:val="Основной текст 2 Знак"/>
    <w:basedOn w:val="856"/>
    <w:next w:val="888"/>
    <w:link w:val="887"/>
  </w:style>
  <w:style w:type="paragraph" w:styleId="889">
    <w:name w:val="Style6"/>
    <w:basedOn w:val="854"/>
    <w:next w:val="889"/>
    <w:link w:val="854"/>
    <w:uiPriority w:val="99"/>
    <w:pPr>
      <w:ind w:hanging="72"/>
      <w:spacing w:line="251" w:lineRule="exact"/>
    </w:pPr>
    <w:rPr>
      <w:rFonts w:ascii="Bookman Old Style" w:hAnsi="Bookman Old Style"/>
      <w:sz w:val="24"/>
      <w:szCs w:val="24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  <w:style w:type="character" w:styleId="893" w:customStyle="1">
    <w:name w:val="Strong Emphasis"/>
    <w:next w:val="872"/>
    <w:link w:val="857"/>
    <w:qFormat/>
    <w:rPr>
      <w:b/>
      <w:bCs/>
    </w:rPr>
  </w:style>
  <w:style w:type="paragraph" w:styleId="894" w:customStyle="1">
    <w:name w:val="Обычный (веб)"/>
    <w:basedOn w:val="857"/>
    <w:next w:val="870"/>
    <w:link w:val="857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chernyanskijrajon-r31.gosweb.gosuslugi.ru)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29</cp:revision>
  <dcterms:created xsi:type="dcterms:W3CDTF">2021-05-25T06:20:00Z</dcterms:created>
  <dcterms:modified xsi:type="dcterms:W3CDTF">2024-09-26T10:35:26Z</dcterms:modified>
  <cp:version>786432</cp:version>
</cp:coreProperties>
</file>