
<file path=[Content_Types].xml><?xml version="1.0" encoding="utf-8"?>
<Types xmlns="http://schemas.openxmlformats.org/package/2006/content-types">
  <Default Extension="xlsx" ContentType="application/vnd.openxmlformats-officedocument.spreadsheetml.sheet"/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hart3.xml" ContentType="application/vnd.openxmlformats-officedocument.drawingml.chart+xml"/>
  <Override PartName="/word/charts/chart1.xml" ContentType="application/vnd.openxmlformats-officedocument.drawingml.chart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right"/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Arial" w:cs="Times New Roman" w:eastAsiaTheme="minorHAnsi"/>
          <w:sz w:val="24"/>
          <w:szCs w:val="24"/>
          <w:highlight w:val="white"/>
        </w:rPr>
        <w:t xml:space="preserve">Проект внесен Главой 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jc w:val="right"/>
        <w:spacing w:line="283" w:lineRule="atLeast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Arial" w:cs="Times New Roman" w:eastAsiaTheme="minorHAnsi"/>
          <w:sz w:val="24"/>
          <w:szCs w:val="24"/>
          <w:highlight w:val="white"/>
        </w:rPr>
        <w:t xml:space="preserve">Чернянского муниципального 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jc w:val="right"/>
        <w:spacing w:line="283" w:lineRule="atLeast"/>
        <w:rPr>
          <w:rFonts w:ascii="Tinos" w:hAnsi="Tinos" w:cs="Tinos"/>
          <w:color w:val="auto"/>
          <w:sz w:val="28"/>
          <w:szCs w:val="28"/>
          <w:highlight w:val="white"/>
        </w:rPr>
      </w:pPr>
      <w:r>
        <w:rPr>
          <w:rFonts w:ascii="Times New Roman" w:hAnsi="Times New Roman" w:eastAsia="Arial" w:cs="Times New Roman" w:eastAsiaTheme="minorHAnsi"/>
          <w:sz w:val="24"/>
          <w:szCs w:val="24"/>
          <w:highlight w:val="white"/>
        </w:rPr>
        <w:t xml:space="preserve">округа Белгородской области</w:t>
      </w:r>
      <w:r>
        <w:rPr>
          <w:rFonts w:ascii="Tinos" w:hAnsi="Tinos" w:cs="Tinos"/>
          <w:color w:val="auto"/>
          <w:sz w:val="28"/>
          <w:szCs w:val="28"/>
          <w:highlight w:val="white"/>
        </w:rPr>
      </w:r>
      <w:r>
        <w:rPr>
          <w:rFonts w:ascii="Tinos" w:hAnsi="Tinos" w:cs="Tinos"/>
          <w:color w:val="auto"/>
          <w:sz w:val="28"/>
          <w:szCs w:val="28"/>
          <w:highlight w:val="white"/>
        </w:rPr>
      </w:r>
    </w:p>
    <w:p>
      <w:pPr>
        <w:jc w:val="center"/>
        <w:spacing w:line="283" w:lineRule="atLeast"/>
        <w:rPr>
          <w:rFonts w:ascii="Tinos" w:hAnsi="Tinos" w:cs="Tinos"/>
          <w:color w:val="auto"/>
          <w:sz w:val="28"/>
          <w:szCs w:val="28"/>
          <w:highlight w:val="white"/>
        </w:rPr>
      </w:pPr>
      <w:r>
        <w:rPr>
          <w:rFonts w:ascii="Tinos" w:hAnsi="Tinos" w:cs="Tinos"/>
          <w:color w:val="auto"/>
          <w:sz w:val="28"/>
          <w:szCs w:val="28"/>
          <w:highlight w:val="white"/>
        </w:rPr>
      </w:r>
      <w:r>
        <w:rPr>
          <w:rFonts w:ascii="Tinos" w:hAnsi="Tinos" w:cs="Tinos"/>
          <w:color w:val="auto"/>
          <w:sz w:val="28"/>
          <w:szCs w:val="28"/>
          <w:highlight w:val="white"/>
        </w:rPr>
      </w:r>
      <w:r>
        <w:rPr>
          <w:rFonts w:ascii="Tinos" w:hAnsi="Tinos" w:cs="Tinos"/>
          <w:color w:val="auto"/>
          <w:sz w:val="28"/>
          <w:szCs w:val="28"/>
          <w:highlight w:val="white"/>
        </w:rPr>
      </w:r>
    </w:p>
    <w:p>
      <w:pPr>
        <w:jc w:val="center"/>
        <w:spacing w:line="360" w:lineRule="auto"/>
        <w:rPr>
          <w:rFonts w:ascii="Tinos" w:hAnsi="Tinos" w:cs="Tinos"/>
          <w:color w:val="auto"/>
          <w:sz w:val="28"/>
          <w:szCs w:val="28"/>
          <w:highlight w:val="white"/>
        </w:rPr>
      </w:pPr>
      <w:r>
        <w:rPr>
          <w:rFonts w:ascii="Tinos" w:hAnsi="Tinos" w:eastAsia="Tinos" w:cs="Tinos"/>
          <w:color w:val="auto"/>
          <w:sz w:val="28"/>
          <w:szCs w:val="28"/>
          <w:highlight w:val="white"/>
        </w:rPr>
        <w:t xml:space="preserve">РОССИЙСКАЯ ФЕДЕРАЦИЯ</w:t>
      </w:r>
      <w:r>
        <w:rPr>
          <w:rFonts w:ascii="Tinos" w:hAnsi="Tinos" w:cs="Tinos"/>
          <w:color w:val="auto"/>
          <w:sz w:val="28"/>
          <w:szCs w:val="28"/>
          <w:highlight w:val="white"/>
        </w:rPr>
      </w:r>
      <w:r>
        <w:rPr>
          <w:rFonts w:ascii="Tinos" w:hAnsi="Tinos" w:cs="Tinos"/>
          <w:color w:val="auto"/>
          <w:sz w:val="28"/>
          <w:szCs w:val="28"/>
          <w:highlight w:val="white"/>
        </w:rPr>
      </w:r>
    </w:p>
    <w:p>
      <w:pPr>
        <w:jc w:val="center"/>
        <w:spacing w:line="360" w:lineRule="auto"/>
        <w:rPr>
          <w:rFonts w:ascii="Tinos" w:hAnsi="Tinos" w:cs="Tinos"/>
          <w:color w:val="auto"/>
          <w:sz w:val="28"/>
          <w:szCs w:val="28"/>
          <w:highlight w:val="white"/>
        </w:rPr>
      </w:pPr>
      <w:r>
        <w:rPr>
          <w:rFonts w:ascii="Tinos" w:hAnsi="Tinos" w:cs="Tinos"/>
          <w:color w:val="auto"/>
          <w:sz w:val="28"/>
          <w:szCs w:val="28"/>
          <w:highlight w:val="white"/>
        </w:rPr>
        <w:t xml:space="preserve">БЕЛГОРОДСКАЯ ОБЛАСТЬ</w:t>
      </w:r>
      <w:r>
        <w:rPr>
          <w:rFonts w:ascii="Tinos" w:hAnsi="Tinos" w:cs="Tinos"/>
          <w:color w:val="auto"/>
          <w:sz w:val="28"/>
          <w:szCs w:val="28"/>
          <w:highlight w:val="white"/>
        </w:rPr>
      </w:r>
      <w:r>
        <w:rPr>
          <w:rFonts w:ascii="Tinos" w:hAnsi="Tinos" w:cs="Tinos"/>
          <w:color w:val="auto"/>
          <w:sz w:val="28"/>
          <w:szCs w:val="28"/>
          <w:highlight w:val="white"/>
        </w:rPr>
      </w:r>
    </w:p>
    <w:p>
      <w:pPr>
        <w:jc w:val="center"/>
        <w:spacing w:line="360" w:lineRule="auto"/>
        <w:tabs>
          <w:tab w:val="clear" w:pos="708" w:leader="none"/>
          <w:tab w:val="left" w:pos="851" w:leader="none"/>
        </w:tabs>
        <w:rPr>
          <w:rFonts w:ascii="Tinos" w:hAnsi="Tinos" w:cs="Tinos"/>
          <w:color w:val="auto"/>
          <w:sz w:val="28"/>
          <w:szCs w:val="28"/>
          <w:highlight w:val="white"/>
        </w:rPr>
      </w:pPr>
      <w:r>
        <w:rPr>
          <w:rFonts w:ascii="Tinos" w:hAnsi="Tinos" w:cs="Tinos"/>
          <w:color w:val="auto"/>
          <w:sz w:val="28"/>
          <w:szCs w:val="28"/>
          <w:highlight w:val="white"/>
        </w:rPr>
        <w:t xml:space="preserve">СОВЕТ ДЕПУТАТОВ ЧЕРНЯНСКОГО МУНИЦИПАЛЬНОГО ОКРУГА </w:t>
      </w:r>
      <w:r>
        <w:rPr>
          <w:rFonts w:ascii="Tinos" w:hAnsi="Tinos" w:cs="Tinos"/>
          <w:color w:val="auto"/>
          <w:sz w:val="28"/>
          <w:szCs w:val="28"/>
          <w:highlight w:val="white"/>
        </w:rPr>
      </w:r>
      <w:r>
        <w:rPr>
          <w:rFonts w:ascii="Tinos" w:hAnsi="Tinos" w:cs="Tinos"/>
          <w:color w:val="auto"/>
          <w:sz w:val="28"/>
          <w:szCs w:val="28"/>
          <w:highlight w:val="white"/>
        </w:rPr>
      </w:r>
    </w:p>
    <w:p>
      <w:pPr>
        <w:jc w:val="left"/>
        <w:spacing w:line="283" w:lineRule="atLeast"/>
        <w:tabs>
          <w:tab w:val="clear" w:pos="708" w:leader="none"/>
          <w:tab w:val="left" w:pos="851" w:leader="none"/>
        </w:tabs>
        <w:rPr>
          <w:rFonts w:ascii="Tinos" w:hAnsi="Tinos" w:cs="Tinos"/>
          <w:color w:val="auto"/>
          <w:sz w:val="28"/>
          <w:szCs w:val="28"/>
          <w:highlight w:val="white"/>
          <w:u w:val="none"/>
        </w:rPr>
      </w:pPr>
      <w:r>
        <w:rPr>
          <w:rFonts w:ascii="Tinos" w:hAnsi="Tinos" w:cs="Tinos"/>
          <w:color w:val="auto"/>
          <w:sz w:val="28"/>
          <w:szCs w:val="28"/>
          <w:highlight w:val="white"/>
          <w:u w:val="none"/>
        </w:rPr>
      </w:r>
      <w:r>
        <w:rPr>
          <w:rFonts w:ascii="Tinos" w:hAnsi="Tinos" w:cs="Tinos"/>
          <w:color w:val="auto"/>
          <w:sz w:val="28"/>
          <w:szCs w:val="28"/>
          <w:highlight w:val="white"/>
          <w:u w:val="none"/>
        </w:rPr>
      </w:r>
      <w:r>
        <w:rPr>
          <w:rFonts w:ascii="Tinos" w:hAnsi="Tinos" w:cs="Tinos"/>
          <w:color w:val="auto"/>
          <w:sz w:val="28"/>
          <w:szCs w:val="28"/>
          <w:highlight w:val="white"/>
          <w:u w:val="none"/>
        </w:rPr>
      </w:r>
    </w:p>
    <w:p>
      <w:pPr>
        <w:jc w:val="left"/>
        <w:spacing w:line="283" w:lineRule="atLeast"/>
        <w:tabs>
          <w:tab w:val="clear" w:pos="708" w:leader="none"/>
          <w:tab w:val="left" w:pos="851" w:leader="none"/>
        </w:tabs>
        <w:rPr>
          <w:rFonts w:ascii="Tinos" w:hAnsi="Tinos" w:eastAsia="Tinos" w:cs="Tinos"/>
          <w:color w:val="auto"/>
          <w:sz w:val="28"/>
          <w:szCs w:val="28"/>
          <w:highlight w:val="white"/>
          <w:u w:val="none"/>
        </w:rPr>
      </w:pPr>
      <w:r>
        <w:rPr>
          <w:rFonts w:ascii="Tinos" w:hAnsi="Tinos" w:eastAsia="Tinos" w:cs="Tinos"/>
          <w:color w:val="auto"/>
          <w:sz w:val="24"/>
          <w:szCs w:val="24"/>
          <w:highlight w:val="white"/>
          <w:u w:val="single"/>
        </w:rPr>
        <w:t xml:space="preserve">                                              ________</w:t>
      </w:r>
      <w:r>
        <w:rPr>
          <w:rFonts w:ascii="Tinos" w:hAnsi="Tinos" w:eastAsia="Tinos" w:cs="Tinos"/>
          <w:color w:val="auto"/>
          <w:sz w:val="24"/>
          <w:szCs w:val="24"/>
          <w:highlight w:val="white"/>
          <w:u w:val="single"/>
        </w:rPr>
        <w:t xml:space="preserve">                                                </w:t>
      </w:r>
      <w:r>
        <w:rPr>
          <w:rFonts w:ascii="Tinos" w:hAnsi="Tinos" w:eastAsia="Tinos" w:cs="Tinos"/>
          <w:color w:val="auto"/>
          <w:sz w:val="28"/>
          <w:szCs w:val="28"/>
          <w:highlight w:val="white"/>
          <w:u w:val="none"/>
        </w:rPr>
        <w:t xml:space="preserve">сессия первого созыва</w:t>
      </w:r>
      <w:r>
        <w:rPr>
          <w:rFonts w:ascii="Tinos" w:hAnsi="Tinos" w:eastAsia="Tinos" w:cs="Tinos"/>
          <w:color w:val="auto"/>
          <w:sz w:val="28"/>
          <w:szCs w:val="28"/>
          <w:highlight w:val="white"/>
          <w:u w:val="none"/>
        </w:rPr>
      </w:r>
      <w:r>
        <w:rPr>
          <w:rFonts w:ascii="Tinos" w:hAnsi="Tinos" w:eastAsia="Tinos" w:cs="Tinos"/>
          <w:color w:val="auto"/>
          <w:sz w:val="28"/>
          <w:szCs w:val="28"/>
          <w:highlight w:val="white"/>
          <w:u w:val="none"/>
        </w:rPr>
      </w:r>
    </w:p>
    <w:p>
      <w:pPr>
        <w:ind w:right="57" w:firstLine="0"/>
        <w:jc w:val="center"/>
        <w:spacing w:line="283" w:lineRule="atLeast"/>
        <w:tabs>
          <w:tab w:val="clear" w:pos="708" w:leader="none"/>
          <w:tab w:val="left" w:pos="851" w:leader="none"/>
        </w:tabs>
        <w:rPr>
          <w:rFonts w:ascii="Tinos" w:hAnsi="Tinos" w:cs="Tinos"/>
          <w:b/>
          <w:bCs/>
          <w:color w:val="auto"/>
          <w:sz w:val="28"/>
          <w:szCs w:val="28"/>
          <w:highlight w:val="white"/>
        </w:rPr>
        <w:suppressLineNumbers w:val="0"/>
      </w:pPr>
      <w:r>
        <w:rPr>
          <w:rFonts w:ascii="Tinos" w:hAnsi="Tinos" w:eastAsia="Tinos" w:cs="Tinos"/>
          <w:b/>
          <w:bCs/>
          <w:color w:val="auto"/>
          <w:sz w:val="28"/>
          <w:szCs w:val="28"/>
          <w:highlight w:val="white"/>
        </w:rPr>
        <w:t xml:space="preserve">Р Е Ш Е Н И Е</w:t>
      </w:r>
      <w:r>
        <w:rPr>
          <w:rFonts w:ascii="Tinos" w:hAnsi="Tinos" w:cs="Tinos"/>
          <w:b/>
          <w:bCs/>
          <w:color w:val="auto"/>
          <w:sz w:val="28"/>
          <w:szCs w:val="28"/>
          <w:highlight w:val="white"/>
        </w:rPr>
      </w:r>
      <w:r>
        <w:rPr>
          <w:rFonts w:ascii="Tinos" w:hAnsi="Tinos" w:cs="Tinos"/>
          <w:b/>
          <w:bCs/>
          <w:color w:val="auto"/>
          <w:sz w:val="28"/>
          <w:szCs w:val="28"/>
          <w:highlight w:val="white"/>
        </w:rPr>
      </w:r>
    </w:p>
    <w:p>
      <w:pPr>
        <w:jc w:val="left"/>
        <w:spacing w:line="283" w:lineRule="atLeast"/>
        <w:tabs>
          <w:tab w:val="clear" w:pos="708" w:leader="none"/>
          <w:tab w:val="left" w:pos="851" w:leader="none"/>
        </w:tabs>
        <w:rPr>
          <w:rFonts w:ascii="Times New Roman" w:hAnsi="Times New Roman" w:cs="Times New Roman"/>
          <w:color w:val="auto"/>
          <w:sz w:val="28"/>
          <w:szCs w:val="28"/>
          <w:highlight w:val="white"/>
        </w:rPr>
      </w:pPr>
      <w:r>
        <w:rPr>
          <w:rFonts w:ascii="Tinos" w:hAnsi="Tinos" w:eastAsia="Tinos" w:cs="Tinos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  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2026 г.      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                                                                                       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№ </w:t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  <w:r>
        <w:rPr>
          <w:rFonts w:ascii="Times New Roman" w:hAnsi="Times New Roman" w:cs="Times New Roman"/>
          <w:color w:val="auto"/>
          <w:sz w:val="28"/>
          <w:szCs w:val="28"/>
          <w:highlight w:val="white"/>
        </w:rPr>
      </w:r>
    </w:p>
    <w:p>
      <w:pPr>
        <w:jc w:val="left"/>
        <w:spacing w:before="0" w:beforeAutospacing="0" w:after="0" w:afterAutospacing="0" w:line="283" w:lineRule="atLeast"/>
        <w:tabs>
          <w:tab w:val="clear" w:pos="708" w:leader="none"/>
          <w:tab w:val="left" w:pos="851" w:leader="none"/>
        </w:tabs>
        <w:rPr>
          <w:rFonts w:ascii="Times New Roman Cyr" w:hAnsi="Times New Roman Cyr" w:cs="Times New Roman Cyr"/>
          <w:color w:val="auto"/>
          <w:sz w:val="28"/>
          <w:szCs w:val="28"/>
          <w:highlight w:val="white"/>
          <w:u w:val="none"/>
        </w:rPr>
      </w:pPr>
      <w:r>
        <w:rPr>
          <w:rFonts w:ascii="Times New Roman Cyr" w:hAnsi="Times New Roman Cyr" w:cs="Times New Roman Cyr"/>
          <w:color w:val="auto"/>
          <w:sz w:val="28"/>
          <w:szCs w:val="28"/>
          <w:highlight w:val="white"/>
          <w:u w:val="none"/>
        </w:rPr>
      </w:r>
      <w:r>
        <w:rPr>
          <w:rFonts w:ascii="Times New Roman Cyr" w:hAnsi="Times New Roman Cyr" w:cs="Times New Roman Cyr"/>
          <w:color w:val="auto"/>
          <w:sz w:val="28"/>
          <w:szCs w:val="28"/>
          <w:highlight w:val="white"/>
          <w:u w:val="none"/>
        </w:rPr>
      </w:r>
      <w:r>
        <w:rPr>
          <w:rFonts w:ascii="Times New Roman Cyr" w:hAnsi="Times New Roman Cyr" w:cs="Times New Roman Cyr"/>
          <w:color w:val="auto"/>
          <w:sz w:val="28"/>
          <w:szCs w:val="28"/>
          <w:highlight w:val="white"/>
          <w:u w:val="none"/>
        </w:rPr>
      </w:r>
    </w:p>
    <w:p>
      <w:pPr>
        <w:pStyle w:val="1059"/>
        <w:jc w:val="center"/>
        <w:rPr>
          <w:rFonts w:ascii="Times New Roman" w:hAnsi="Times New Roman" w:eastAsia="Times New Roman" w:cs="Times New Roman"/>
          <w:b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О внесении изменений в решение муниципального совета Чернянского района от 27 марта 2013 года № 599 «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Об утверждении Стратегии социально-экономического развития муниципального района «Чернянский район» Белгородской области до 2025 года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»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jc w:val="left"/>
        <w:spacing w:line="360" w:lineRule="auto"/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</w:r>
      <w:r>
        <w:rPr>
          <w:color w:val="00b050"/>
          <w:sz w:val="28"/>
          <w:szCs w:val="28"/>
        </w:rPr>
      </w:r>
      <w:r>
        <w:rPr>
          <w:color w:val="00b050"/>
          <w:sz w:val="28"/>
          <w:szCs w:val="28"/>
        </w:rPr>
      </w:r>
    </w:p>
    <w:p>
      <w:pPr>
        <w:pStyle w:val="1028"/>
        <w:contextualSpacing w:val="0"/>
        <w:ind w:left="0" w:right="-284" w:firstLine="709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В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Трудовым кодексом Российской Федерации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Федеральн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ым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hyperlink r:id="rId19" w:tooltip="consultantplus://offline/ref=83B7D527D992B0673744BD5E17DE5CA452A9B091CB1C322E62459A9D0847C1838FBC02C3C6C1B40Ai4m7E" w:history="1">
        <w:r>
          <w:rPr>
            <w:rFonts w:ascii="Times New Roman" w:hAnsi="Times New Roman" w:eastAsia="Times New Roman" w:cs="Times New Roman"/>
            <w:b w:val="0"/>
            <w:bCs w:val="0"/>
            <w:i w:val="0"/>
            <w:iCs w:val="0"/>
            <w:color w:val="auto"/>
            <w:sz w:val="28"/>
            <w:szCs w:val="28"/>
            <w:highlight w:val="white"/>
          </w:rPr>
          <w:t xml:space="preserve">законо</w:t>
        </w:r>
        <w:r>
          <w:rPr>
            <w:rFonts w:ascii="Times New Roman" w:hAnsi="Times New Roman" w:eastAsia="Times New Roman" w:cs="Times New Roman"/>
            <w:b w:val="0"/>
            <w:bCs w:val="0"/>
            <w:i w:val="0"/>
            <w:iCs w:val="0"/>
            <w:color w:val="auto"/>
            <w:sz w:val="28"/>
            <w:szCs w:val="28"/>
            <w:highlight w:val="white"/>
          </w:rPr>
          <w:t xml:space="preserve">м</w:t>
        </w:r>
      </w:hyperlink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от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.03.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2007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25-ФЗ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О муниципальной службе в Российской Федерации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закон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ом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Белгородской области от 24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.09.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2007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. №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150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Об особенностях организации муниципальной службы в Белгородской области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»,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аконом Белгородской области от 25.02.2025 г. № 462 «О преобразовании всех поселений, входящих в состав муниципального района «Чернянский район» Белгородской области»,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решением Совета депутатов Чернянского муниципального округа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Белгородской области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от 26.09.2025 г. № 10 «О вопросах правопреемства»,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  <w:lang w:val="en-US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Совет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депутатов Чернянского муниципального округа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Белгородской области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  <w14:ligatures w14:val="none"/>
        </w:rPr>
      </w:r>
    </w:p>
    <w:p>
      <w:pPr>
        <w:pStyle w:val="1028"/>
        <w:ind w:left="0" w:right="-284" w:firstLine="0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решил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: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1028"/>
        <w:contextualSpacing w:val="0"/>
        <w:ind w:left="0" w:right="-284" w:firstLine="709"/>
        <w:jc w:val="both"/>
        <w:rPr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1. Внести 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решение Совета депутатов Чернянского муниципального округа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Белгородской области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27 марта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2013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№ 599 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Об утверждении Стратегии социально-экономического развития муниципального района «Чернянский район» Белгородской области до 2025 года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» (в редакции решений от 27.11.2013 г. № 25, от 25.04.2018 г. № 581, от 18.12.2019 г. № 180, 26.11.2020 г. № 273) </w:t>
      </w:r>
      <w:r>
        <w:rPr>
          <w:rFonts w:ascii="Times New Roman" w:hAnsi="Times New Roman" w:cs="Times New Roman"/>
          <w:b w:val="0"/>
          <w:bCs w:val="0"/>
          <w:sz w:val="28"/>
          <w:szCs w:val="28"/>
          <w:highlight w:val="white"/>
        </w:rPr>
        <w:t xml:space="preserve"> следующие изменения: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  <w14:ligatures w14:val="none"/>
        </w:rPr>
      </w:r>
      <w:r>
        <w:rPr>
          <w:highlight w:val="none"/>
        </w:rPr>
      </w:r>
      <w:r>
        <w:rPr>
          <w:highlight w:val="none"/>
        </w:rPr>
      </w:r>
      <w:r>
        <w:rPr>
          <w:iCs w:val="0"/>
          <w:highlight w:val="none"/>
          <w14:ligatures w14:val="none"/>
        </w:rPr>
      </w:r>
    </w:p>
    <w:p>
      <w:pPr>
        <w:pStyle w:val="1059"/>
        <w:ind w:firstLine="567"/>
        <w:jc w:val="both"/>
        <w:spacing w:before="0" w:beforeAutospacing="0" w:after="0" w:afterAutospacing="0" w:line="240" w:lineRule="auto"/>
        <w:rPr>
          <w:highlight w:val="none"/>
        </w:rPr>
      </w:pP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1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.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1. </w:t>
      </w:r>
      <w:r>
        <w:rPr>
          <w:rFonts w:ascii="Tinos" w:hAnsi="Tinos" w:eastAsia="Tinos" w:cs="Tinos"/>
          <w:bCs/>
          <w:sz w:val="28"/>
          <w:szCs w:val="28"/>
          <w:highlight w:val="white"/>
        </w:rPr>
      </w:r>
      <w:r>
        <w:rPr>
          <w:rFonts w:ascii="Tinos" w:hAnsi="Tinos" w:cs="Tinos"/>
          <w:sz w:val="28"/>
          <w:szCs w:val="28"/>
          <w:highlight w:val="none"/>
        </w:rPr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В наименовании решения слово «район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е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» заменить словами «муниципально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м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 округ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е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»;</w:t>
      </w:r>
      <w:r>
        <w:rPr>
          <w:rFonts w:ascii="Tinos" w:hAnsi="Tinos" w:cs="Tinos"/>
          <w:sz w:val="28"/>
          <w:szCs w:val="28"/>
          <w:highlight w:val="none"/>
        </w:rPr>
      </w:r>
      <w:r/>
      <w:r>
        <w:rPr>
          <w:rFonts w:ascii="Tinos" w:hAnsi="Tinos" w:eastAsia="Tinos" w:cs="Tinos"/>
          <w:sz w:val="28"/>
          <w:szCs w:val="28"/>
          <w:highlight w:val="white"/>
        </w:rPr>
      </w: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ind w:firstLine="567"/>
        <w:jc w:val="both"/>
        <w:spacing w:before="0" w:beforeAutospacing="0" w:after="0" w:afterAutospacing="0" w:line="240" w:lineRule="auto"/>
        <w:rPr>
          <w:rFonts w:ascii="Times New Roman" w:hAnsi="Times New Roman" w:eastAsia="Times New Roman" w:cs="Times New Roman"/>
          <w:b w:val="0"/>
          <w:bCs w:val="0"/>
          <w:i w:val="0"/>
          <w:color w:val="auto"/>
          <w:sz w:val="28"/>
          <w:szCs w:val="28"/>
          <w:highlight w:val="none"/>
        </w:rPr>
      </w:pPr>
      <w:r>
        <w:rPr>
          <w:rFonts w:ascii="Tinos" w:hAnsi="Tinos" w:eastAsia="Tinos" w:cs="Tinos"/>
          <w:sz w:val="28"/>
          <w:szCs w:val="28"/>
          <w:highlight w:val="white"/>
        </w:rPr>
        <w:t xml:space="preserve">1.2. Н</w:t>
      </w:r>
      <w:r>
        <w:rPr>
          <w:rFonts w:ascii="Tinos" w:hAnsi="Tinos" w:eastAsia="Tinos" w:cs="Tinos"/>
          <w:sz w:val="28"/>
          <w:szCs w:val="28"/>
          <w:highlight w:val="white"/>
        </w:rPr>
        <w:t xml:space="preserve">аименование Стратегии социально экономического развития, утвержденную решением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Совета депутатов Чернянского муниципального округа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Белгородской области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от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27 марта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2013 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№ 599 «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Об утверждении Стратегии социально-экономического развития муниципального района «Чернянский район» Белгородской области до 2025 года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»,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з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л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ж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т</w:t>
      </w: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  <w:highlight w:val="white"/>
        </w:rPr>
        <w:t xml:space="preserve">ь </w:t>
      </w:r>
      <w:r>
        <w:rPr>
          <w:rFonts w:ascii="Tinos" w:hAnsi="Tinos" w:eastAsia="Tinos" w:cs="Tinos"/>
          <w:sz w:val="28"/>
          <w:szCs w:val="28"/>
          <w:highlight w:val="white"/>
        </w:rPr>
        <w:t xml:space="preserve">в следующей редакции: «Стратегия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социально-экономического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з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в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т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Ч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е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я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с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м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ц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и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п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ь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н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к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р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у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а Белгородской области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2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0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г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о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д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а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»</w:t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white"/>
        </w:rPr>
        <w:t xml:space="preserve">;</w:t>
      </w:r>
      <w:r>
        <w:rPr>
          <w:rFonts w:ascii="Tinos" w:hAnsi="Tinos" w:cs="Tinos"/>
          <w:sz w:val="28"/>
          <w:szCs w:val="28"/>
          <w:highlight w:val="white"/>
        </w:rPr>
      </w:r>
    </w:p>
    <w:p>
      <w:pPr>
        <w:pStyle w:val="1059"/>
        <w:ind w:left="0" w:right="0" w:firstLine="567"/>
        <w:jc w:val="both"/>
        <w:spacing w:before="0" w:beforeAutospacing="0" w:after="0" w:afterAutospacing="0" w:line="240" w:lineRule="auto"/>
        <w:rPr>
          <w:rFonts w:ascii="Tinos" w:hAnsi="Tinos" w:cs="Tinos"/>
          <w:bCs/>
          <w:sz w:val="28"/>
          <w:szCs w:val="28"/>
          <w:highlight w:val="white"/>
        </w:rPr>
      </w:pPr>
      <w:r>
        <w:rPr>
          <w:rFonts w:ascii="Tinos" w:hAnsi="Tinos" w:cs="Tinos"/>
          <w:bCs/>
          <w:sz w:val="28"/>
          <w:szCs w:val="28"/>
          <w:highlight w:val="none"/>
        </w:rPr>
        <w:t xml:space="preserve">1.3. В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 пункте 2 решения слова 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«Чернянском район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е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» заменить словами «Чернянском муниципально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м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 округ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е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»</w:t>
      </w:r>
      <w:r>
        <w:rPr>
          <w:rFonts w:ascii="Tinos" w:hAnsi="Tinos" w:eastAsia="Tinos" w:cs="Tinos"/>
          <w:bCs/>
          <w:sz w:val="28"/>
          <w:szCs w:val="28"/>
          <w:highlight w:val="white"/>
        </w:rPr>
        <w:t xml:space="preserve">;</w:t>
      </w:r>
      <w:r>
        <w:rPr>
          <w:rFonts w:ascii="Tinos" w:hAnsi="Tinos" w:cs="Tinos"/>
          <w:bCs/>
          <w:sz w:val="28"/>
          <w:szCs w:val="28"/>
          <w:highlight w:val="white"/>
        </w:rPr>
      </w:r>
      <w:r>
        <w:rPr>
          <w:rFonts w:ascii="Tinos" w:hAnsi="Tinos" w:cs="Tinos"/>
          <w:bCs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i w:val="0"/>
          <w:iCs w:val="0"/>
          <w:color w:val="auto"/>
          <w:sz w:val="28"/>
          <w:szCs w:val="28"/>
          <w:highlight w:val="none"/>
        </w:rPr>
      </w:r>
      <w:r>
        <w:rPr>
          <w:rFonts w:ascii="Tinos" w:hAnsi="Tinos" w:cs="Tinos"/>
          <w:bCs/>
          <w:sz w:val="28"/>
          <w:szCs w:val="28"/>
          <w:highlight w:val="white"/>
        </w:rPr>
      </w:r>
    </w:p>
    <w:p>
      <w:pPr>
        <w:ind w:firstLine="567"/>
        <w:jc w:val="both"/>
        <w:spacing w:before="0" w:beforeAutospacing="0" w:after="0" w:afterAutospacing="0" w:line="240" w:lineRule="auto"/>
        <w:rPr>
          <w:rFonts w:ascii="Tinos" w:hAnsi="Tinos" w:cs="Tinos"/>
          <w:highlight w:val="white"/>
        </w:rPr>
      </w:pPr>
      <w:r>
        <w:rPr>
          <w:rFonts w:ascii="Tinos" w:hAnsi="Tinos" w:eastAsia="Tinos" w:cs="Tinos"/>
          <w:sz w:val="28"/>
          <w:szCs w:val="28"/>
          <w:highlight w:val="white"/>
        </w:rPr>
        <w:t xml:space="preserve">2. Стратегию социально-экономического развития Чернянского муниципального округа Белгородской области до 2030 года, изложить в  редакции согласно приложению к настоящему решению. </w:t>
      </w:r>
      <w:r>
        <w:rPr>
          <w:rFonts w:ascii="Tinos" w:hAnsi="Tinos" w:eastAsia="Tinos" w:cs="Tinos"/>
          <w:bCs/>
          <w:sz w:val="28"/>
          <w:szCs w:val="28"/>
          <w:highlight w:val="none"/>
        </w:rPr>
      </w:r>
      <w:r>
        <w:rPr>
          <w:rFonts w:ascii="Tinos" w:hAnsi="Tinos" w:eastAsia="Tinos" w:cs="Tinos"/>
          <w:bCs/>
          <w:sz w:val="28"/>
          <w:szCs w:val="28"/>
          <w:highlight w:val="none"/>
        </w:rPr>
      </w:r>
      <w:r>
        <w:rPr>
          <w:rFonts w:ascii="Tinos" w:hAnsi="Tinos" w:cs="Tinos"/>
          <w:highlight w:val="white"/>
        </w:rPr>
      </w:r>
    </w:p>
    <w:p>
      <w:pPr>
        <w:ind w:left="0" w:right="-284"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3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Опубликовать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настоящее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решение в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сетевом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издании «Приосколье31» (адрес сайта: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val="en-US" w:eastAsia="en-US"/>
        </w:rPr>
        <w:t xml:space="preserve">http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://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val="en-US" w:eastAsia="en-US"/>
        </w:rPr>
        <w:t xml:space="preserve">www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val="en-US" w:eastAsia="en-US"/>
        </w:rPr>
        <w:t xml:space="preserve">GAZETA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-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val="en-US" w:eastAsia="en-US"/>
        </w:rPr>
        <w:t xml:space="preserve">PRIOSKOLYE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val="en-US" w:eastAsia="en-US"/>
        </w:rPr>
        <w:t xml:space="preserve">RU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разместить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 на официальном сайте Чернянского муниципального округа Белгородской области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(электронный адрес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 сайта: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https://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www.chernyanskijrajon-r31.gosweb.gosuslugi. ru)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lang w:eastAsia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r>
      <w:r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r>
    </w:p>
    <w:p>
      <w:pPr>
        <w:ind w:left="0" w:right="-284" w:firstLine="567"/>
        <w:jc w:val="both"/>
        <w:spacing w:after="0" w:line="240" w:lineRule="auto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4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Н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астоящее решение вступает в силу со дня его официального опубликовани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я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и распространяется на правоотношения, возникшие с 1 января  2026 года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1028"/>
        <w:ind w:left="0" w:right="-284" w:firstLine="567"/>
        <w:jc w:val="both"/>
        <w:rPr>
          <w:rFonts w:ascii="Times New Roman" w:hAnsi="Times New Roman" w:cs="Times New Roman"/>
          <w:sz w:val="28"/>
          <w:szCs w:val="28"/>
          <w:highlight w:val="white"/>
          <w14:ligatures w14:val="non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5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Контроль за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выполнением настоящего решения возложить на постоянную комиссию Совета депутатов Чернянского муниципального округа Белгородской области по законности, нормативной и правовой деятельности, вопросам местного самоуправления.</w:t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left="0" w:right="-284" w:firstLine="0"/>
        <w:jc w:val="both"/>
        <w:spacing w:after="0" w:line="240" w:lineRule="auto"/>
        <w:widowControl w:val="off"/>
        <w:tabs>
          <w:tab w:val="left" w:pos="9071" w:leader="none"/>
        </w:tabs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</w:r>
    </w:p>
    <w:p>
      <w:pPr>
        <w:ind w:left="0" w:right="-284" w:firstLine="0"/>
        <w:jc w:val="both"/>
        <w:spacing w:after="0" w:line="240" w:lineRule="auto"/>
        <w:widowControl w:val="off"/>
        <w:tabs>
          <w:tab w:val="left" w:pos="9071" w:leader="none"/>
        </w:tabs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</w:r>
    </w:p>
    <w:p>
      <w:pPr>
        <w:ind w:left="0" w:right="-284" w:firstLine="0"/>
        <w:jc w:val="both"/>
        <w:spacing w:after="0" w:line="240" w:lineRule="auto"/>
        <w:widowControl w:val="off"/>
        <w:tabs>
          <w:tab w:val="left" w:pos="9071" w:leader="none"/>
        </w:tabs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Председатель Совета депутатов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r>
    </w:p>
    <w:p>
      <w:pPr>
        <w:ind w:left="0" w:right="-284" w:firstLine="0"/>
        <w:jc w:val="both"/>
        <w:spacing w:after="0" w:line="240" w:lineRule="auto"/>
        <w:widowControl w:val="off"/>
        <w:tabs>
          <w:tab w:val="left" w:pos="9071" w:leader="none"/>
        </w:tabs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Чернянского муниципального округа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ind w:left="0" w:right="-284" w:firstLine="0"/>
        <w:jc w:val="right"/>
        <w:spacing w:after="0" w:line="283" w:lineRule="atLeast"/>
        <w:tabs>
          <w:tab w:val="left" w:pos="9071" w:leader="none"/>
        </w:tabs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highlight w:val="white"/>
        </w:rPr>
        <w:t xml:space="preserve">Белгородской области             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                                                                 </w:t>
      </w:r>
      <w:r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  <w:t xml:space="preserve">М.В. Чуб</w:t>
      </w: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white"/>
        </w:rPr>
      </w:r>
    </w:p>
    <w:p>
      <w:pPr>
        <w:pStyle w:val="1028"/>
        <w:ind w:left="0" w:right="-284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59"/>
        <w:ind w:left="0" w:right="-284" w:firstLine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r>
    </w:p>
    <w:p>
      <w:pPr>
        <w:pStyle w:val="1059"/>
        <w:ind w:left="0" w:right="-284" w:firstLine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Глава Чернянского муниципального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none"/>
        </w:rPr>
      </w:r>
    </w:p>
    <w:p>
      <w:pPr>
        <w:ind w:left="0" w:right="-284" w:firstLine="0"/>
        <w:jc w:val="right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округа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Белгородской области                                 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С.А. Морозов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1_490884"/>
        <w:ind w:right="-1"/>
        <w:spacing w:before="0" w:line="298" w:lineRule="exact"/>
        <w:shd w:val="clear" w:color="auto" w:fill="auto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</w:rPr>
      </w:r>
      <w:r>
        <w:rPr>
          <w:rFonts w:ascii="Times New Roman" w:hAnsi="Times New Roman"/>
          <w:b w:val="0"/>
          <w:bCs w:val="0"/>
          <w:sz w:val="28"/>
          <w:szCs w:val="28"/>
        </w:rPr>
      </w:r>
      <w:r>
        <w:rPr>
          <w:rFonts w:ascii="Times New Roman" w:hAnsi="Times New Roman"/>
          <w:b w:val="0"/>
          <w:bCs w:val="0"/>
          <w:sz w:val="28"/>
          <w:szCs w:val="28"/>
        </w:rPr>
      </w:r>
    </w:p>
    <w:p>
      <w:pPr>
        <w:pStyle w:val="1_490884"/>
        <w:ind w:right="-1"/>
        <w:spacing w:before="0" w:line="298" w:lineRule="exact"/>
        <w:shd w:val="clear" w:color="auto" w:fill="auto"/>
        <w:rPr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b w:val="0"/>
          <w:bCs w:val="0"/>
          <w:sz w:val="28"/>
          <w:szCs w:val="28"/>
        </w:rPr>
      </w:r>
      <w:r>
        <w:rPr>
          <w:rFonts w:ascii="Times New Roman" w:hAnsi="Times New Roman"/>
          <w:b w:val="0"/>
          <w:bCs w:val="0"/>
          <w:sz w:val="28"/>
          <w:szCs w:val="28"/>
        </w:rPr>
      </w:r>
      <w:r>
        <w:rPr>
          <w:rFonts w:ascii="Times New Roman" w:hAnsi="Times New Roman"/>
          <w:b w:val="0"/>
          <w:bCs w:val="0"/>
          <w:sz w:val="28"/>
          <w:szCs w:val="28"/>
        </w:rPr>
      </w:r>
    </w:p>
    <w:p>
      <w:pPr>
        <w:pStyle w:val="1028"/>
        <w:ind w:left="4535" w:right="0" w:firstLine="0"/>
        <w:jc w:val="center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r>
        <w:br w:type="page" w:clear="all"/>
      </w:r>
      <w:r/>
    </w:p>
    <w:tbl>
      <w:tblPr>
        <w:tblStyle w:val="1056"/>
        <w:tblW w:w="0" w:type="auto"/>
        <w:tblInd w:w="567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901"/>
      </w:tblGrid>
      <w:tr>
        <w:tblPrEx/>
        <w:trPr/>
        <w:tc>
          <w:tcPr>
            <w:tcW w:w="41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Утверждена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решением Муниципального совета Чернянского района 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W w:w="418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 27.03.2013 г. № 599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(в редакции решения 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26.06.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2026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г.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 № _____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 w:themeFill="background1"/>
              </w:rPr>
              <w:t xml:space="preserve">)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jc w:val="both"/>
        <w:spacing w:line="36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both"/>
        <w:spacing w:line="36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both"/>
        <w:spacing w:line="36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both"/>
        <w:spacing w:line="36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both"/>
        <w:spacing w:line="36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both"/>
        <w:spacing w:line="36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center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СТРАТЕГИЯ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СОЦИАЛЬНО-ЭКОНОМИЧЕСКОГО РАЗВИТИЯ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ЧЕРНЯНСКОГО МУНИЦИПАЛЬНОГО ОКРУГА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БЕЛГОРОДСКОЙ ОБЛАСТИ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 2030 ГОДА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spacing w:line="36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Чернянка 2026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b/>
          <w:sz w:val="32"/>
          <w:szCs w:val="32"/>
        </w:rPr>
      </w:pPr>
      <w:r>
        <w:rPr>
          <w:sz w:val="28"/>
          <w:szCs w:val="28"/>
        </w:rPr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rPr>
          <w:b/>
          <w:sz w:val="32"/>
          <w:szCs w:val="32"/>
        </w:rPr>
      </w:pPr>
      <w:r>
        <w:rPr>
          <w:b/>
          <w:sz w:val="32"/>
          <w:szCs w:val="32"/>
        </w:rPr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jc w:val="center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jc w:val="center"/>
        <w:spacing w:line="276" w:lineRule="auto"/>
        <w:rPr>
          <w:b/>
          <w:bCs/>
          <w:sz w:val="32"/>
          <w:szCs w:val="32"/>
        </w:rPr>
      </w:pPr>
      <w:r>
        <w:rPr>
          <w:b/>
          <w:sz w:val="32"/>
          <w:szCs w:val="32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0496" behindDoc="1" locked="0" layoutInCell="1" allowOverlap="1">
                <wp:simplePos x="0" y="0"/>
                <wp:positionH relativeFrom="column">
                  <wp:posOffset>2536190</wp:posOffset>
                </wp:positionH>
                <wp:positionV relativeFrom="paragraph">
                  <wp:posOffset>-52588</wp:posOffset>
                </wp:positionV>
                <wp:extent cx="935990" cy="1097280"/>
                <wp:effectExtent l="0" t="0" r="0" b="0"/>
                <wp:wrapNone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661466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935989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90496;o:allowoverlap:true;o:allowincell:true;mso-position-horizontal-relative:text;margin-left:199.70pt;mso-position-horizontal:absolute;mso-position-vertical-relative:text;margin-top:-4.14pt;mso-position-vertical:absolute;width:73.70pt;height:86.40pt;mso-wrap-distance-left:9.00pt;mso-wrap-distance-top:0.00pt;mso-wrap-distance-right:9.00pt;mso-wrap-distance-bottom:0.00pt;" stroked="f" strokeweight="0.75pt">
                <v:path textboxrect="0,0,0,0"/>
                <v:imagedata r:id="rId20" o:title=""/>
              </v:shape>
            </w:pict>
          </mc:Fallback>
        </mc:AlternateContent>
      </w:r>
      <w:r>
        <w:rPr>
          <w:b/>
          <w:bCs/>
          <w:sz w:val="32"/>
          <w:szCs w:val="32"/>
        </w:rPr>
      </w:r>
      <w:r>
        <w:rPr>
          <w:b/>
          <w:bCs/>
          <w:sz w:val="32"/>
          <w:szCs w:val="32"/>
        </w:rPr>
      </w:r>
    </w:p>
    <w:p>
      <w:pPr>
        <w:jc w:val="center"/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>
        <w:rPr>
          <w:b/>
          <w:bCs/>
          <w:sz w:val="32"/>
          <w:szCs w:val="32"/>
        </w:rPr>
      </w:r>
      <w:r>
        <w:rPr>
          <w:b/>
          <w:bCs/>
          <w:sz w:val="32"/>
          <w:szCs w:val="32"/>
        </w:rPr>
      </w:r>
    </w:p>
    <w:p>
      <w:pPr>
        <w:jc w:val="center"/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>
        <w:rPr>
          <w:b/>
          <w:bCs/>
          <w:sz w:val="32"/>
          <w:szCs w:val="32"/>
        </w:rPr>
      </w:r>
      <w:r>
        <w:rPr>
          <w:b/>
          <w:bCs/>
          <w:sz w:val="32"/>
          <w:szCs w:val="32"/>
        </w:rPr>
      </w:r>
    </w:p>
    <w:p>
      <w:pPr>
        <w:jc w:val="center"/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>
        <w:rPr>
          <w:b/>
          <w:bCs/>
          <w:sz w:val="32"/>
          <w:szCs w:val="32"/>
        </w:rPr>
      </w:r>
      <w:r>
        <w:rPr>
          <w:b/>
          <w:bCs/>
          <w:sz w:val="32"/>
          <w:szCs w:val="32"/>
        </w:rPr>
      </w:r>
    </w:p>
    <w:p>
      <w:pPr>
        <w:jc w:val="center"/>
        <w:spacing w:line="276" w:lineRule="auto"/>
        <w:rPr>
          <w:b/>
          <w:bCs/>
          <w:sz w:val="32"/>
          <w:szCs w:val="32"/>
        </w:rPr>
      </w:pPr>
      <w:r>
        <w:rPr>
          <w:b/>
          <w:sz w:val="32"/>
          <w:szCs w:val="32"/>
        </w:rPr>
      </w:r>
      <w:r>
        <w:rPr>
          <w:b/>
          <w:bCs/>
          <w:sz w:val="32"/>
          <w:szCs w:val="32"/>
        </w:rPr>
      </w:r>
      <w:r>
        <w:rPr>
          <w:b/>
          <w:bCs/>
          <w:sz w:val="32"/>
          <w:szCs w:val="32"/>
        </w:rPr>
      </w:r>
    </w:p>
    <w:p>
      <w:pPr>
        <w:jc w:val="center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СТРАТЕГИЯ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jc w:val="center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СОЦИАЛЬНО-ЭКОНОМИЧЕСКОГО РАЗВИТИЯ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jc w:val="center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ЧЕРНЯНСКОГО МУНИЦИПАЛЬНОГО ОКРУГА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jc w:val="center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БЕЛГОРОДСКОЙ ОБЛАСТИ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jc w:val="center"/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ДО 2030 ГОДА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3328" behindDoc="1" locked="0" layoutInCell="1" allowOverlap="1">
                <wp:simplePos x="0" y="0"/>
                <wp:positionH relativeFrom="column">
                  <wp:posOffset>-10439</wp:posOffset>
                </wp:positionH>
                <wp:positionV relativeFrom="paragraph">
                  <wp:posOffset>23496</wp:posOffset>
                </wp:positionV>
                <wp:extent cx="3085744" cy="1869440"/>
                <wp:effectExtent l="0" t="0" r="0" b="0"/>
                <wp:wrapNone/>
                <wp:docPr id="2" name="Рисунок 10" descr="C:\Documents and Settings\SotrEkonom\Рабочий стол\0_2034fc_5e11fc30_or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Documents and Settings\SotrEkonom\Рабочий стол\0_2034fc_5e11fc30_orig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3086913" cy="1870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251683328;o:allowoverlap:true;o:allowincell:true;mso-position-horizontal-relative:text;margin-left:-0.82pt;mso-position-horizontal:absolute;mso-position-vertical-relative:text;margin-top:1.85pt;mso-position-vertical:absolute;width:242.97pt;height:147.20pt;mso-wrap-distance-left:9.00pt;mso-wrap-distance-top:0.00pt;mso-wrap-distance-right:9.00pt;mso-wrap-distance-bottom:0.00pt;" stroked="f" strokeweight="0.75pt">
                <v:path textboxrect="0,0,0,0"/>
                <v:imagedata r:id="rId2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2304" behindDoc="1" locked="0" layoutInCell="1" allowOverlap="1">
                <wp:simplePos x="0" y="0"/>
                <wp:positionH relativeFrom="column">
                  <wp:posOffset>3226435</wp:posOffset>
                </wp:positionH>
                <wp:positionV relativeFrom="paragraph">
                  <wp:posOffset>180975</wp:posOffset>
                </wp:positionV>
                <wp:extent cx="3049270" cy="2032000"/>
                <wp:effectExtent l="19050" t="0" r="0" b="0"/>
                <wp:wrapNone/>
                <wp:docPr id="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049270" cy="203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251682304;o:allowoverlap:true;o:allowincell:true;mso-position-horizontal-relative:text;margin-left:254.05pt;mso-position-horizontal:absolute;mso-position-vertical-relative:text;margin-top:14.25pt;mso-position-vertical:absolute;width:240.10pt;height:160.00pt;mso-wrap-distance-left:9.00pt;mso-wrap-distance-top:0.00pt;mso-wrap-distance-right:9.00pt;mso-wrap-distance-bottom:0.00pt;" stroked="f" strokeweight="0.75pt">
                <v:path textboxrect="0,0,0,0"/>
                <v:imagedata r:id="rId2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4352" behindDoc="1" locked="0" layoutInCell="1" allowOverlap="1">
                <wp:simplePos x="0" y="0"/>
                <wp:positionH relativeFrom="column">
                  <wp:posOffset>17978</wp:posOffset>
                </wp:positionH>
                <wp:positionV relativeFrom="paragraph">
                  <wp:posOffset>1544955</wp:posOffset>
                </wp:positionV>
                <wp:extent cx="2986207" cy="1798320"/>
                <wp:effectExtent l="0" t="0" r="0" b="0"/>
                <wp:wrapNone/>
                <wp:docPr id="4" name="Рисунок 13" descr="C:\Documents and Settings\SotrEkonom\Рабочий стол\zgjyh7msm4h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Documents and Settings\SotrEkonom\Рабочий стол\zgjyh7msm4ho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989576" cy="1800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251684352;o:allowoverlap:true;o:allowincell:true;mso-position-horizontal-relative:text;margin-left:1.42pt;mso-position-horizontal:absolute;mso-position-vertical-relative:text;margin-top:121.65pt;mso-position-vertical:absolute;width:235.13pt;height:141.60pt;mso-wrap-distance-left:9.00pt;mso-wrap-distance-top:0.00pt;mso-wrap-distance-right:9.00pt;mso-wrap-distance-bottom:0.00pt;" stroked="f" strokeweight="0.75pt">
                <v:path textboxrect="0,0,0,0"/>
                <v:imagedata r:id="rId23" o:title=""/>
              </v:shape>
            </w:pict>
          </mc:Fallback>
        </mc:AlternateContent>
      </w:r>
      <w:r>
        <w:rPr>
          <w:b/>
          <w:sz w:val="26"/>
          <w:szCs w:val="2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5376" behindDoc="1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1906905</wp:posOffset>
                </wp:positionV>
                <wp:extent cx="3394710" cy="2255520"/>
                <wp:effectExtent l="19050" t="0" r="0" b="0"/>
                <wp:wrapNone/>
                <wp:docPr id="5" name="Рисунок 17" descr="C:\Documents and Settings\SotrEkonom\Рабочий стол\6f6f1ea67507621674cb56f724419af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Documents and Settings\SotrEkonom\Рабочий стол\6f6f1ea67507621674cb56f724419aff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394710" cy="225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-251685376;o:allowoverlap:true;o:allowincell:true;mso-position-horizontal-relative:text;margin-left:226.95pt;mso-position-horizontal:absolute;mso-position-vertical-relative:text;margin-top:150.15pt;mso-position-vertical:absolute;width:267.30pt;height:177.60pt;mso-wrap-distance-left:9.00pt;mso-wrap-distance-top:0.00pt;mso-wrap-distance-right:9.00pt;mso-wrap-distance-bottom:0.00pt;" stroked="f" strokeweight="0.75pt">
                <v:path textboxrect="0,0,0,0"/>
                <v:imagedata r:id="rId24" o:title=""/>
              </v:shape>
            </w:pict>
          </mc:Fallback>
        </mc:AlternateContent>
      </w:r>
      <w:r>
        <w:rPr>
          <w:b/>
          <w:sz w:val="26"/>
          <w:szCs w:val="26"/>
        </w:rPr>
        <w:br w:type="page" w:clear="all"/>
      </w:r>
      <w:r>
        <w:rPr>
          <w:b/>
          <w:sz w:val="26"/>
          <w:szCs w:val="26"/>
        </w:rPr>
        <w:t xml:space="preserve">Содержание</w:t>
      </w:r>
      <w:r>
        <w:rPr>
          <w:b/>
          <w:sz w:val="26"/>
          <w:szCs w:val="26"/>
        </w:rPr>
      </w:r>
      <w:r>
        <w:rPr>
          <w:b/>
          <w:sz w:val="26"/>
          <w:szCs w:val="26"/>
        </w:rPr>
      </w:r>
    </w:p>
    <w:tbl>
      <w:tblPr>
        <w:tblW w:w="9962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1019"/>
        <w:gridCol w:w="8337"/>
        <w:gridCol w:w="606"/>
      </w:tblGrid>
      <w:tr>
        <w:tblPrEx/>
        <w:trPr/>
        <w:tc>
          <w:tcPr>
            <w:gridSpan w:val="2"/>
            <w:tcW w:w="9356" w:type="dxa"/>
            <w:textDirection w:val="lrTb"/>
            <w:noWrap w:val="false"/>
          </w:tcPr>
          <w:p>
            <w:pPr>
              <w:ind w:right="-86"/>
              <w:rPr>
                <w:i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Введение............................................................................................................................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7</w:t>
            </w:r>
            <w:r>
              <w:rPr>
                <w:b/>
                <w:sz w:val="26"/>
                <w:szCs w:val="26"/>
              </w:rPr>
            </w:r>
          </w:p>
        </w:tc>
      </w:tr>
      <w:tr>
        <w:tblPrEx/>
        <w:trPr/>
        <w:tc>
          <w:tcPr>
            <w:gridSpan w:val="2"/>
            <w:tcW w:w="9356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Раздел 1. Оценка исходной социально-экономической ситуации 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  <w:r>
              <w:rPr>
                <w:b/>
                <w:sz w:val="26"/>
                <w:szCs w:val="26"/>
              </w:rPr>
            </w:r>
            <w:r>
              <w:rPr>
                <w:b/>
                <w:sz w:val="26"/>
                <w:szCs w:val="26"/>
              </w:rPr>
            </w:r>
          </w:p>
        </w:tc>
      </w:tr>
      <w:tr>
        <w:tblPrEx/>
        <w:trPr/>
        <w:tc>
          <w:tcPr>
            <w:gridSpan w:val="2"/>
            <w:tcW w:w="9356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муниципального района «Чернянский район» Белгородской области……..…..        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8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1.1</w:t>
            </w:r>
            <w:r>
              <w:rPr>
                <w:i/>
                <w:sz w:val="26"/>
                <w:szCs w:val="26"/>
              </w:rPr>
              <w:t xml:space="preserve">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Краткие сведения о муниципальном районе………..</w:t>
            </w:r>
            <w:r>
              <w:rPr>
                <w:b/>
                <w:sz w:val="26"/>
                <w:szCs w:val="26"/>
              </w:rPr>
              <w:t xml:space="preserve">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8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</w:t>
            </w:r>
            <w:r>
              <w:rPr>
                <w:i/>
                <w:sz w:val="26"/>
                <w:szCs w:val="26"/>
              </w:rPr>
              <w:t xml:space="preserve">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Анализ качества жизни населения</w:t>
            </w:r>
            <w:r>
              <w:rPr>
                <w:b/>
                <w:sz w:val="26"/>
                <w:szCs w:val="26"/>
              </w:rPr>
              <w:t xml:space="preserve">...................................................................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12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1.2.1.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Демография</w:t>
            </w:r>
            <w:r>
              <w:rPr>
                <w:b/>
                <w:sz w:val="26"/>
                <w:szCs w:val="26"/>
              </w:rPr>
              <w:t xml:space="preserve">.........................................................................................................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12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1.2.2.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Уровень жизни населения</w:t>
            </w:r>
            <w:r>
              <w:rPr>
                <w:b/>
                <w:sz w:val="26"/>
                <w:szCs w:val="26"/>
              </w:rPr>
              <w:t xml:space="preserve">..................................................................................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16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1.2.3.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Социальная защита населения</w:t>
            </w:r>
            <w:r>
              <w:rPr>
                <w:b/>
                <w:sz w:val="26"/>
                <w:szCs w:val="26"/>
              </w:rPr>
              <w:t xml:space="preserve">.........................................................................</w:t>
            </w:r>
            <w:r>
              <w:rPr>
                <w:i/>
                <w:sz w:val="26"/>
                <w:szCs w:val="26"/>
              </w:rPr>
              <w:t xml:space="preserve">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20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1.2.4.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Жилищно-коммунальная сфера и благоустройство</w:t>
            </w:r>
            <w:r>
              <w:rPr>
                <w:b/>
                <w:sz w:val="26"/>
                <w:szCs w:val="26"/>
              </w:rPr>
              <w:t xml:space="preserve">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21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1.2.5.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Строительство жилья</w:t>
            </w:r>
            <w:r>
              <w:rPr>
                <w:b/>
                <w:i/>
                <w:sz w:val="26"/>
                <w:szCs w:val="26"/>
              </w:rPr>
              <w:t xml:space="preserve">......................................................................................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26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1.2.6.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Транспорт…</w:t>
            </w:r>
            <w:r>
              <w:rPr>
                <w:b/>
                <w:i/>
                <w:sz w:val="26"/>
                <w:szCs w:val="26"/>
              </w:rPr>
              <w:t xml:space="preserve">…………........................................................................................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28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1.2.7.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Здравоохранение</w:t>
            </w:r>
            <w:r>
              <w:rPr>
                <w:b/>
                <w:sz w:val="26"/>
                <w:szCs w:val="26"/>
              </w:rPr>
              <w:t xml:space="preserve">.................................................................................................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29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1.2.8.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Образование</w:t>
            </w:r>
            <w:r>
              <w:rPr>
                <w:b/>
                <w:sz w:val="26"/>
                <w:szCs w:val="26"/>
              </w:rPr>
              <w:t xml:space="preserve">........................................................................................................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3</w:t>
            </w:r>
            <w:r>
              <w:rPr>
                <w:i/>
                <w:sz w:val="26"/>
                <w:szCs w:val="26"/>
              </w:rPr>
              <w:t xml:space="preserve">2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1.2.9.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Культура, физкультура и спорт</w:t>
            </w:r>
            <w:r>
              <w:rPr>
                <w:b/>
                <w:sz w:val="26"/>
                <w:szCs w:val="26"/>
              </w:rPr>
              <w:t xml:space="preserve">......................................................................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37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1.2.10.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Информационные ресурсы</w:t>
            </w:r>
            <w:r>
              <w:rPr>
                <w:b/>
                <w:sz w:val="26"/>
                <w:szCs w:val="26"/>
              </w:rPr>
              <w:t xml:space="preserve">.................................................................................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4</w:t>
            </w:r>
            <w:r>
              <w:rPr>
                <w:i/>
                <w:sz w:val="26"/>
                <w:szCs w:val="26"/>
              </w:rPr>
              <w:t xml:space="preserve">0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1.2.11.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Потребительский рынок</w:t>
            </w:r>
            <w:r>
              <w:rPr>
                <w:b/>
                <w:sz w:val="26"/>
                <w:szCs w:val="26"/>
              </w:rPr>
              <w:t xml:space="preserve">...................................................................................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4</w:t>
            </w:r>
            <w:r>
              <w:rPr>
                <w:i/>
                <w:sz w:val="26"/>
                <w:szCs w:val="26"/>
              </w:rPr>
              <w:t xml:space="preserve">1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1.2.12.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Защита жизни и имущества граждан…...</w:t>
            </w:r>
            <w:r>
              <w:rPr>
                <w:b/>
                <w:sz w:val="26"/>
                <w:szCs w:val="26"/>
              </w:rPr>
              <w:t xml:space="preserve">......................................................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4</w:t>
            </w:r>
            <w:r>
              <w:rPr>
                <w:i/>
                <w:sz w:val="26"/>
                <w:szCs w:val="26"/>
              </w:rPr>
              <w:t xml:space="preserve">3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1.2.13.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Социальная инфраструктура населенных пунктов…………………….</w:t>
            </w:r>
            <w:r>
              <w:rPr>
                <w:b/>
                <w:sz w:val="26"/>
                <w:szCs w:val="26"/>
              </w:rPr>
              <w:t xml:space="preserve">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45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1.2.14.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Состояние окружающей среды</w:t>
            </w:r>
            <w:r>
              <w:rPr>
                <w:b/>
                <w:sz w:val="26"/>
                <w:szCs w:val="26"/>
              </w:rPr>
              <w:t xml:space="preserve">.........</w:t>
            </w:r>
            <w:r>
              <w:rPr>
                <w:b/>
                <w:sz w:val="26"/>
                <w:szCs w:val="26"/>
              </w:rPr>
              <w:t xml:space="preserve">...............................</w:t>
            </w:r>
            <w:r>
              <w:rPr>
                <w:b/>
                <w:sz w:val="26"/>
                <w:szCs w:val="26"/>
              </w:rPr>
              <w:t xml:space="preserve">............................</w:t>
            </w:r>
            <w:r>
              <w:rPr>
                <w:b/>
                <w:sz w:val="26"/>
                <w:szCs w:val="26"/>
              </w:rPr>
              <w:t xml:space="preserve">..</w:t>
            </w:r>
            <w:r>
              <w:rPr>
                <w:b/>
                <w:sz w:val="26"/>
                <w:szCs w:val="26"/>
              </w:rPr>
              <w:t xml:space="preserve">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47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1.2.15.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Общественно-политическая жизнь</w:t>
            </w:r>
            <w:r>
              <w:rPr>
                <w:b/>
                <w:sz w:val="26"/>
                <w:szCs w:val="26"/>
              </w:rPr>
              <w:t xml:space="preserve">.......................................</w:t>
            </w:r>
            <w:r>
              <w:rPr>
                <w:b/>
                <w:sz w:val="26"/>
                <w:szCs w:val="26"/>
              </w:rPr>
              <w:t xml:space="preserve">....</w:t>
            </w:r>
            <w:r>
              <w:rPr>
                <w:b/>
                <w:sz w:val="26"/>
                <w:szCs w:val="26"/>
              </w:rPr>
              <w:t xml:space="preserve">..................</w:t>
            </w:r>
            <w:r>
              <w:rPr>
                <w:b/>
                <w:sz w:val="26"/>
                <w:szCs w:val="26"/>
              </w:rPr>
              <w:t xml:space="preserve">...</w:t>
            </w:r>
            <w:r>
              <w:rPr>
                <w:b/>
                <w:sz w:val="26"/>
                <w:szCs w:val="26"/>
              </w:rPr>
              <w:t xml:space="preserve">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48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1.2.16.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Молодежная политика</w:t>
            </w:r>
            <w:r>
              <w:rPr>
                <w:b/>
                <w:sz w:val="26"/>
                <w:szCs w:val="26"/>
              </w:rPr>
              <w:t xml:space="preserve">.......................</w:t>
            </w:r>
            <w:r>
              <w:rPr>
                <w:b/>
                <w:sz w:val="26"/>
                <w:szCs w:val="26"/>
              </w:rPr>
              <w:t xml:space="preserve">...</w:t>
            </w:r>
            <w:r>
              <w:rPr>
                <w:b/>
                <w:sz w:val="26"/>
                <w:szCs w:val="26"/>
              </w:rPr>
              <w:t xml:space="preserve">.......................................................</w:t>
            </w:r>
            <w:r>
              <w:rPr>
                <w:b/>
                <w:sz w:val="26"/>
                <w:szCs w:val="26"/>
              </w:rPr>
              <w:t xml:space="preserve">.</w:t>
            </w:r>
            <w:r>
              <w:rPr>
                <w:b/>
                <w:sz w:val="26"/>
                <w:szCs w:val="26"/>
              </w:rPr>
              <w:t xml:space="preserve">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49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1.3.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Экономический потенциал</w:t>
            </w:r>
            <w:r>
              <w:rPr>
                <w:b/>
                <w:sz w:val="26"/>
                <w:szCs w:val="26"/>
              </w:rPr>
              <w:t xml:space="preserve">..............</w:t>
            </w:r>
            <w:r>
              <w:rPr>
                <w:b/>
                <w:sz w:val="26"/>
                <w:szCs w:val="26"/>
              </w:rPr>
              <w:t xml:space="preserve">...</w:t>
            </w:r>
            <w:r>
              <w:rPr>
                <w:b/>
                <w:sz w:val="26"/>
                <w:szCs w:val="26"/>
              </w:rPr>
              <w:t xml:space="preserve">...............................................................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5</w:t>
            </w:r>
            <w:r>
              <w:rPr>
                <w:i/>
                <w:sz w:val="26"/>
                <w:szCs w:val="26"/>
              </w:rPr>
              <w:t xml:space="preserve">0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1.3.1.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Промышленное производство</w:t>
            </w:r>
            <w:r>
              <w:rPr>
                <w:b/>
                <w:sz w:val="26"/>
                <w:szCs w:val="26"/>
              </w:rPr>
              <w:t xml:space="preserve">........................................</w:t>
            </w:r>
            <w:r>
              <w:rPr>
                <w:b/>
                <w:sz w:val="26"/>
                <w:szCs w:val="26"/>
              </w:rPr>
              <w:t xml:space="preserve">..</w:t>
            </w:r>
            <w:r>
              <w:rPr>
                <w:b/>
                <w:sz w:val="26"/>
                <w:szCs w:val="26"/>
              </w:rPr>
              <w:t xml:space="preserve">.........................</w:t>
            </w:r>
            <w:r>
              <w:rPr>
                <w:b/>
                <w:sz w:val="26"/>
                <w:szCs w:val="26"/>
              </w:rPr>
              <w:t xml:space="preserve">.</w:t>
            </w:r>
            <w:r>
              <w:rPr>
                <w:b/>
                <w:sz w:val="26"/>
                <w:szCs w:val="26"/>
              </w:rPr>
              <w:t xml:space="preserve">......</w:t>
            </w:r>
            <w:r>
              <w:rPr>
                <w:b/>
                <w:sz w:val="26"/>
                <w:szCs w:val="26"/>
              </w:rPr>
              <w:t xml:space="preserve">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5</w:t>
            </w:r>
            <w:r>
              <w:rPr>
                <w:i/>
                <w:sz w:val="26"/>
                <w:szCs w:val="26"/>
              </w:rPr>
              <w:t xml:space="preserve">1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1.3.2.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Сельское хозяйство</w:t>
            </w:r>
            <w:r>
              <w:rPr>
                <w:b/>
                <w:sz w:val="26"/>
                <w:szCs w:val="26"/>
              </w:rPr>
              <w:t xml:space="preserve">...............................</w:t>
            </w:r>
            <w:r>
              <w:rPr>
                <w:b/>
                <w:sz w:val="26"/>
                <w:szCs w:val="26"/>
              </w:rPr>
              <w:t xml:space="preserve">..............................</w:t>
            </w:r>
            <w:r>
              <w:rPr>
                <w:b/>
                <w:sz w:val="26"/>
                <w:szCs w:val="26"/>
              </w:rPr>
              <w:t xml:space="preserve">..............................</w:t>
            </w:r>
            <w:r>
              <w:rPr>
                <w:b/>
                <w:sz w:val="26"/>
                <w:szCs w:val="26"/>
              </w:rPr>
              <w:t xml:space="preserve">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5</w:t>
            </w:r>
            <w:r>
              <w:rPr>
                <w:i/>
                <w:sz w:val="26"/>
                <w:szCs w:val="26"/>
              </w:rPr>
              <w:t xml:space="preserve">3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1.3.3.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1.3.4.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1.3.5.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b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Предпринимательская деятельность</w:t>
            </w:r>
            <w:r>
              <w:rPr>
                <w:b/>
                <w:sz w:val="26"/>
                <w:szCs w:val="26"/>
              </w:rPr>
              <w:t xml:space="preserve">.........................................</w:t>
            </w:r>
            <w:r>
              <w:rPr>
                <w:b/>
                <w:sz w:val="26"/>
                <w:szCs w:val="26"/>
              </w:rPr>
              <w:t xml:space="preserve">......</w:t>
            </w:r>
            <w:r>
              <w:rPr>
                <w:b/>
                <w:sz w:val="26"/>
                <w:szCs w:val="26"/>
              </w:rPr>
              <w:t xml:space="preserve">..............</w:t>
            </w:r>
            <w:r>
              <w:rPr>
                <w:b/>
                <w:sz w:val="26"/>
                <w:szCs w:val="26"/>
              </w:rPr>
              <w:t xml:space="preserve">.</w:t>
            </w:r>
            <w:r>
              <w:rPr>
                <w:b/>
                <w:sz w:val="26"/>
                <w:szCs w:val="26"/>
              </w:rPr>
            </w:r>
            <w:r>
              <w:rPr>
                <w:b/>
                <w:sz w:val="26"/>
                <w:szCs w:val="26"/>
              </w:rPr>
            </w:r>
          </w:p>
          <w:p>
            <w:pPr>
              <w:ind w:right="-108"/>
              <w:rPr>
                <w:b/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Инновационный потенциал</w:t>
            </w:r>
            <w:r>
              <w:rPr>
                <w:b/>
                <w:i/>
                <w:sz w:val="26"/>
                <w:szCs w:val="26"/>
              </w:rPr>
              <w:t xml:space="preserve">…………………………………………………</w:t>
            </w:r>
            <w:r>
              <w:rPr>
                <w:b/>
                <w:i/>
                <w:sz w:val="26"/>
                <w:szCs w:val="26"/>
              </w:rPr>
              <w:t xml:space="preserve">...</w:t>
            </w:r>
            <w:r>
              <w:rPr>
                <w:b/>
                <w:i/>
                <w:sz w:val="26"/>
                <w:szCs w:val="26"/>
              </w:rPr>
            </w:r>
            <w:r>
              <w:rPr>
                <w:b/>
                <w:i/>
                <w:sz w:val="26"/>
                <w:szCs w:val="26"/>
              </w:rPr>
            </w:r>
          </w:p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Туристско-рекреационный потенциал…………………………………………….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57</w:t>
            </w:r>
            <w:r>
              <w:rPr>
                <w:i/>
                <w:sz w:val="26"/>
                <w:szCs w:val="26"/>
              </w:rPr>
            </w:r>
          </w:p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59</w:t>
            </w:r>
            <w:r>
              <w:rPr>
                <w:i/>
                <w:sz w:val="26"/>
                <w:szCs w:val="26"/>
              </w:rPr>
            </w:r>
          </w:p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6</w:t>
            </w:r>
            <w:r>
              <w:rPr>
                <w:i/>
                <w:sz w:val="26"/>
                <w:szCs w:val="26"/>
              </w:rPr>
              <w:t xml:space="preserve">1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1.4.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Кадровый потенциал………...</w:t>
            </w:r>
            <w:r>
              <w:rPr>
                <w:b/>
                <w:sz w:val="26"/>
                <w:szCs w:val="26"/>
              </w:rPr>
              <w:t xml:space="preserve">................</w:t>
            </w:r>
            <w:r>
              <w:rPr>
                <w:b/>
                <w:sz w:val="26"/>
                <w:szCs w:val="26"/>
              </w:rPr>
              <w:t xml:space="preserve">.............................</w:t>
            </w:r>
            <w:r>
              <w:rPr>
                <w:b/>
                <w:sz w:val="26"/>
                <w:szCs w:val="26"/>
              </w:rPr>
              <w:t xml:space="preserve">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6</w:t>
            </w:r>
            <w:r>
              <w:rPr>
                <w:i/>
                <w:sz w:val="26"/>
                <w:szCs w:val="26"/>
              </w:rPr>
              <w:t xml:space="preserve">2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</w:t>
            </w:r>
            <w:r>
              <w:rPr>
                <w:i/>
                <w:sz w:val="26"/>
                <w:szCs w:val="26"/>
              </w:rPr>
              <w:t xml:space="preserve">4</w:t>
            </w:r>
            <w:r>
              <w:rPr>
                <w:i/>
                <w:sz w:val="26"/>
                <w:szCs w:val="26"/>
              </w:rPr>
              <w:t xml:space="preserve">.1.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Трудовые ресурсы и занятость населения…...</w:t>
            </w:r>
            <w:r>
              <w:rPr>
                <w:b/>
                <w:sz w:val="26"/>
                <w:szCs w:val="26"/>
              </w:rPr>
              <w:t xml:space="preserve">...</w:t>
            </w:r>
            <w:r>
              <w:rPr>
                <w:b/>
                <w:sz w:val="26"/>
                <w:szCs w:val="26"/>
              </w:rPr>
              <w:t xml:space="preserve">......</w:t>
            </w:r>
            <w:r>
              <w:rPr>
                <w:b/>
                <w:sz w:val="26"/>
                <w:szCs w:val="26"/>
              </w:rPr>
              <w:t xml:space="preserve">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6</w:t>
            </w:r>
            <w:r>
              <w:rPr>
                <w:i/>
                <w:sz w:val="26"/>
                <w:szCs w:val="26"/>
              </w:rPr>
              <w:t xml:space="preserve">2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</w:t>
            </w:r>
            <w:r>
              <w:rPr>
                <w:i/>
                <w:sz w:val="26"/>
                <w:szCs w:val="26"/>
              </w:rPr>
              <w:t xml:space="preserve">4</w:t>
            </w:r>
            <w:r>
              <w:rPr>
                <w:i/>
                <w:sz w:val="26"/>
                <w:szCs w:val="26"/>
              </w:rPr>
              <w:t xml:space="preserve">.2.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Анализ с</w:t>
            </w:r>
            <w:r>
              <w:rPr>
                <w:i/>
                <w:sz w:val="26"/>
                <w:szCs w:val="26"/>
              </w:rPr>
              <w:t xml:space="preserve">истем</w:t>
            </w:r>
            <w:r>
              <w:rPr>
                <w:i/>
                <w:sz w:val="26"/>
                <w:szCs w:val="26"/>
              </w:rPr>
              <w:t xml:space="preserve">ы</w:t>
            </w:r>
            <w:r>
              <w:rPr>
                <w:i/>
                <w:sz w:val="26"/>
                <w:szCs w:val="26"/>
              </w:rPr>
              <w:t xml:space="preserve"> управления муниципального образования</w:t>
            </w:r>
            <w:r>
              <w:rPr>
                <w:b/>
                <w:sz w:val="26"/>
                <w:szCs w:val="26"/>
              </w:rPr>
              <w:t xml:space="preserve">......</w:t>
            </w:r>
            <w:r>
              <w:rPr>
                <w:b/>
                <w:sz w:val="26"/>
                <w:szCs w:val="26"/>
              </w:rPr>
              <w:t xml:space="preserve">.............</w:t>
            </w:r>
            <w:r>
              <w:rPr>
                <w:b/>
                <w:sz w:val="26"/>
                <w:szCs w:val="26"/>
              </w:rPr>
              <w:t xml:space="preserve">.....</w:t>
            </w:r>
            <w:r>
              <w:rPr>
                <w:b/>
                <w:sz w:val="26"/>
                <w:szCs w:val="26"/>
              </w:rPr>
              <w:t xml:space="preserve">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65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</w:t>
            </w:r>
            <w:r>
              <w:rPr>
                <w:i/>
                <w:sz w:val="26"/>
                <w:szCs w:val="26"/>
              </w:rPr>
              <w:t xml:space="preserve">5</w:t>
            </w:r>
            <w:r>
              <w:rPr>
                <w:i/>
                <w:sz w:val="26"/>
                <w:szCs w:val="26"/>
              </w:rPr>
              <w:t xml:space="preserve">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Бюджетный потенциал</w:t>
            </w:r>
            <w:r>
              <w:rPr>
                <w:b/>
                <w:sz w:val="26"/>
                <w:szCs w:val="26"/>
              </w:rPr>
              <w:t xml:space="preserve">.............................................................................</w:t>
            </w:r>
            <w:r>
              <w:rPr>
                <w:b/>
                <w:sz w:val="26"/>
                <w:szCs w:val="26"/>
              </w:rPr>
              <w:t xml:space="preserve">.</w:t>
            </w:r>
            <w:r>
              <w:rPr>
                <w:b/>
                <w:sz w:val="26"/>
                <w:szCs w:val="26"/>
              </w:rPr>
              <w:t xml:space="preserve">.....</w:t>
            </w:r>
            <w:r>
              <w:rPr>
                <w:b/>
                <w:sz w:val="26"/>
                <w:szCs w:val="26"/>
              </w:rPr>
              <w:t xml:space="preserve">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67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>
          <w:trHeight w:val="819"/>
        </w:trPr>
        <w:tc>
          <w:tcPr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</w:t>
            </w:r>
            <w:r>
              <w:rPr>
                <w:i/>
                <w:sz w:val="26"/>
                <w:szCs w:val="26"/>
              </w:rPr>
              <w:t xml:space="preserve">5</w:t>
            </w:r>
            <w:r>
              <w:rPr>
                <w:i/>
                <w:sz w:val="26"/>
                <w:szCs w:val="26"/>
              </w:rPr>
              <w:t xml:space="preserve">.1.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1.6.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  <w:p>
            <w:pPr>
              <w:rPr>
                <w:sz w:val="26"/>
                <w:szCs w:val="26"/>
              </w:rPr>
            </w:pPr>
            <w:r>
              <w:rPr>
                <w:i/>
                <w:color w:val="666666"/>
              </w:rPr>
              <w:t xml:space="preserve">1.7.</w:t>
            </w:r>
            <w:r>
              <w:rPr>
                <w:i/>
                <w:color w:val="666666"/>
              </w:rPr>
              <w:t xml:space="preserve">                    </w:t>
            </w: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</w:r>
          </w:p>
          <w:p>
            <w:pPr>
              <w:rPr>
                <w:color w:val="00b050"/>
                <w:sz w:val="26"/>
                <w:szCs w:val="26"/>
              </w:rPr>
            </w:pPr>
            <w:r>
              <w:rPr>
                <w:color w:val="00b050"/>
                <w:sz w:val="26"/>
                <w:szCs w:val="26"/>
              </w:rPr>
            </w:r>
            <w:r>
              <w:rPr>
                <w:color w:val="00b050"/>
                <w:sz w:val="26"/>
                <w:szCs w:val="26"/>
              </w:rPr>
            </w:r>
            <w:r>
              <w:rPr>
                <w:color w:val="00b050"/>
                <w:sz w:val="26"/>
                <w:szCs w:val="26"/>
              </w:rPr>
            </w:r>
          </w:p>
        </w:tc>
        <w:tc>
          <w:tcPr>
            <w:tcW w:w="8337" w:type="dxa"/>
            <w:textDirection w:val="lrTb"/>
            <w:noWrap w:val="false"/>
          </w:tcPr>
          <w:p>
            <w:pPr>
              <w:ind w:right="-108"/>
              <w:rPr>
                <w:b/>
              </w:rPr>
            </w:pPr>
            <w:r>
              <w:rPr>
                <w:i/>
              </w:rPr>
              <w:t xml:space="preserve">Муниципальная собственность</w:t>
            </w:r>
            <w:r>
              <w:rPr>
                <w:b/>
              </w:rPr>
              <w:t xml:space="preserve">.......................................................................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ind w:right="-108"/>
              <w:rPr>
                <w:i/>
              </w:rPr>
            </w:pPr>
            <w:r>
              <w:rPr>
                <w:i/>
              </w:rPr>
              <w:t xml:space="preserve">Пространственное развитие и межмуниципальное сотрудничество……</w:t>
            </w: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tabs>
                <w:tab w:val="left" w:pos="7424" w:leader="none"/>
              </w:tabs>
            </w:pPr>
            <w:r>
              <w:rPr>
                <w:i/>
              </w:rPr>
              <w:t xml:space="preserve">Муниципально-частное   партнерство …………………………………………………</w:t>
            </w:r>
            <w:r/>
          </w:p>
          <w:p>
            <w:r/>
            <w:r/>
          </w:p>
        </w:tc>
        <w:tc>
          <w:tcPr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67</w:t>
            </w:r>
            <w:r>
              <w:rPr>
                <w:i/>
                <w:sz w:val="26"/>
                <w:szCs w:val="26"/>
              </w:rPr>
            </w:r>
          </w:p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7</w:t>
            </w:r>
            <w:r>
              <w:rPr>
                <w:i/>
                <w:sz w:val="26"/>
                <w:szCs w:val="26"/>
              </w:rPr>
              <w:t xml:space="preserve">3</w:t>
            </w:r>
            <w:r>
              <w:rPr>
                <w:i/>
                <w:sz w:val="26"/>
                <w:szCs w:val="26"/>
              </w:rPr>
            </w:r>
          </w:p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75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gridSpan w:val="2"/>
            <w:shd w:val="clear" w:color="auto" w:fill="auto"/>
            <w:tcW w:w="9356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Раздел 2. </w:t>
            </w:r>
            <w:r>
              <w:rPr>
                <w:b/>
                <w:sz w:val="26"/>
                <w:szCs w:val="26"/>
              </w:rPr>
              <w:t xml:space="preserve">Ст</w:t>
            </w:r>
            <w:r>
              <w:rPr>
                <w:b/>
                <w:sz w:val="26"/>
                <w:szCs w:val="26"/>
              </w:rPr>
              <w:t xml:space="preserve">артовые условия для разработки С</w:t>
            </w:r>
            <w:r>
              <w:rPr>
                <w:b/>
                <w:sz w:val="26"/>
                <w:szCs w:val="26"/>
              </w:rPr>
              <w:t xml:space="preserve">тратегии </w:t>
            </w:r>
            <w:r>
              <w:rPr>
                <w:b/>
                <w:sz w:val="26"/>
                <w:szCs w:val="26"/>
              </w:rPr>
              <w:t xml:space="preserve">муниципального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gridSpan w:val="2"/>
            <w:shd w:val="clear" w:color="auto" w:fill="auto"/>
            <w:tcW w:w="9356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района</w:t>
            </w:r>
            <w:r>
              <w:rPr>
                <w:b/>
                <w:sz w:val="26"/>
                <w:szCs w:val="26"/>
              </w:rPr>
              <w:t xml:space="preserve"> «Чернянский район»……………………………</w:t>
            </w:r>
            <w:r>
              <w:rPr>
                <w:b/>
                <w:sz w:val="26"/>
                <w:szCs w:val="26"/>
              </w:rPr>
              <w:t xml:space="preserve">……………………………..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75</w:t>
            </w:r>
            <w:r>
              <w:rPr>
                <w:b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2.1.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Внешние и внутренние факторы развития </w:t>
            </w:r>
            <w:r>
              <w:rPr>
                <w:i/>
                <w:sz w:val="26"/>
                <w:szCs w:val="26"/>
              </w:rPr>
              <w:t xml:space="preserve">……………………………..</w:t>
            </w:r>
            <w:r>
              <w:rPr>
                <w:i/>
                <w:sz w:val="26"/>
                <w:szCs w:val="26"/>
              </w:rPr>
              <w:t xml:space="preserve">……..</w:t>
            </w:r>
            <w:r>
              <w:rPr>
                <w:b/>
                <w:sz w:val="26"/>
                <w:szCs w:val="26"/>
              </w:rPr>
              <w:t xml:space="preserve">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75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2.2</w:t>
            </w:r>
            <w:r>
              <w:rPr>
                <w:i/>
                <w:sz w:val="26"/>
                <w:szCs w:val="26"/>
              </w:rPr>
              <w:t xml:space="preserve">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  <w:lang w:val="en-US"/>
              </w:rPr>
              <w:t xml:space="preserve">SWOT</w:t>
            </w:r>
            <w:r>
              <w:rPr>
                <w:i/>
                <w:sz w:val="26"/>
                <w:szCs w:val="26"/>
              </w:rPr>
              <w:t xml:space="preserve"> – анализ </w:t>
            </w:r>
            <w:r>
              <w:rPr>
                <w:b/>
                <w:i/>
                <w:sz w:val="26"/>
                <w:szCs w:val="26"/>
              </w:rPr>
              <w:t xml:space="preserve">……………………………...</w:t>
            </w:r>
            <w:r>
              <w:rPr>
                <w:b/>
                <w:i/>
                <w:sz w:val="26"/>
                <w:szCs w:val="26"/>
              </w:rPr>
              <w:t xml:space="preserve">…………………...</w:t>
            </w:r>
            <w:r>
              <w:rPr>
                <w:b/>
                <w:i/>
                <w:sz w:val="26"/>
                <w:szCs w:val="26"/>
              </w:rPr>
              <w:t xml:space="preserve">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76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2.3.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Роль муниципального образования в экономике Белгородской области…...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83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gridSpan w:val="2"/>
            <w:shd w:val="clear" w:color="auto" w:fill="auto"/>
            <w:tcW w:w="9356" w:type="dxa"/>
            <w:textDirection w:val="lrTb"/>
            <w:noWrap w:val="false"/>
          </w:tcPr>
          <w:p>
            <w:pPr>
              <w:ind w:right="-5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Раздел 3. </w:t>
            </w:r>
            <w:r>
              <w:rPr>
                <w:b/>
                <w:sz w:val="26"/>
                <w:szCs w:val="26"/>
              </w:rPr>
              <w:t xml:space="preserve">Формирование образа будущего муниципального района</w:t>
            </w:r>
            <w:r>
              <w:rPr>
                <w:b/>
                <w:sz w:val="26"/>
                <w:szCs w:val="26"/>
              </w:rPr>
            </w:r>
            <w:r>
              <w:rPr>
                <w:b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gridSpan w:val="2"/>
            <w:shd w:val="clear" w:color="auto" w:fill="auto"/>
            <w:tcW w:w="9356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«Чернянский район» .....</w:t>
            </w:r>
            <w:r>
              <w:rPr>
                <w:b/>
                <w:sz w:val="26"/>
                <w:szCs w:val="26"/>
              </w:rPr>
              <w:t xml:space="preserve">.....................................................................................</w:t>
            </w:r>
            <w:r>
              <w:rPr>
                <w:b/>
                <w:sz w:val="26"/>
                <w:szCs w:val="26"/>
              </w:rPr>
              <w:t xml:space="preserve">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86</w:t>
            </w:r>
            <w:r>
              <w:rPr>
                <w:b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3.1.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Основные выводы и рекомендации  по выбору стратегических направлений</w:t>
            </w:r>
            <w:r>
              <w:rPr>
                <w:b/>
                <w:sz w:val="26"/>
                <w:szCs w:val="26"/>
              </w:rPr>
              <w:t xml:space="preserve">.......................................................................................................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86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3.2.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Миссия и стратегическая цель развития муниципального района «Чернянский район»</w:t>
            </w:r>
            <w:r>
              <w:rPr>
                <w:b/>
                <w:sz w:val="26"/>
                <w:szCs w:val="26"/>
              </w:rPr>
              <w:t xml:space="preserve">………………………………………</w:t>
            </w:r>
            <w:r>
              <w:rPr>
                <w:b/>
                <w:sz w:val="26"/>
                <w:szCs w:val="26"/>
              </w:rPr>
              <w:t xml:space="preserve">...............................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87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3.3.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3.4.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b/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Выбор сценария развития муниципального района</w:t>
            </w:r>
            <w:r>
              <w:rPr>
                <w:i/>
                <w:sz w:val="26"/>
                <w:szCs w:val="26"/>
              </w:rPr>
              <w:t xml:space="preserve"> «Чернянский район»</w:t>
            </w:r>
            <w:r>
              <w:rPr>
                <w:b/>
                <w:i/>
                <w:sz w:val="26"/>
                <w:szCs w:val="26"/>
              </w:rPr>
              <w:t xml:space="preserve">…</w:t>
            </w:r>
            <w:r>
              <w:rPr>
                <w:b/>
                <w:i/>
                <w:sz w:val="26"/>
                <w:szCs w:val="26"/>
              </w:rPr>
            </w:r>
            <w:r>
              <w:rPr>
                <w:b/>
                <w:i/>
                <w:sz w:val="26"/>
                <w:szCs w:val="26"/>
              </w:rPr>
            </w:r>
          </w:p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Инвестиционная стратегия………………………………………………………...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88</w:t>
            </w:r>
            <w:r>
              <w:rPr>
                <w:i/>
                <w:sz w:val="26"/>
                <w:szCs w:val="26"/>
              </w:rPr>
            </w:r>
          </w:p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91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gridSpan w:val="2"/>
            <w:shd w:val="clear" w:color="auto" w:fill="auto"/>
            <w:tcW w:w="9356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Раздел 4. </w:t>
            </w:r>
            <w:r>
              <w:rPr>
                <w:b/>
                <w:sz w:val="26"/>
                <w:szCs w:val="26"/>
              </w:rPr>
              <w:t xml:space="preserve">Стратегические направления развития муниципального района «Чернянский район»</w:t>
            </w:r>
            <w:r>
              <w:rPr>
                <w:b/>
                <w:sz w:val="26"/>
                <w:szCs w:val="26"/>
              </w:rPr>
              <w:t xml:space="preserve">…</w:t>
            </w:r>
            <w:r>
              <w:rPr>
                <w:b/>
                <w:sz w:val="26"/>
                <w:szCs w:val="26"/>
              </w:rPr>
              <w:t xml:space="preserve">……………………………………………………</w:t>
            </w:r>
            <w:r>
              <w:rPr>
                <w:b/>
                <w:sz w:val="26"/>
                <w:szCs w:val="26"/>
              </w:rPr>
              <w:t xml:space="preserve">……………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  <w:r>
              <w:rPr>
                <w:b/>
                <w:sz w:val="26"/>
                <w:szCs w:val="26"/>
              </w:rPr>
            </w:r>
            <w:r>
              <w:rPr>
                <w:b/>
                <w:sz w:val="26"/>
                <w:szCs w:val="26"/>
              </w:rPr>
            </w:r>
          </w:p>
          <w:p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94</w:t>
            </w:r>
            <w:r>
              <w:rPr>
                <w:b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4.1.</w:t>
            </w:r>
            <w:r>
              <w:rPr>
                <w:b/>
                <w:i/>
                <w:sz w:val="26"/>
                <w:szCs w:val="26"/>
              </w:rPr>
            </w: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Первое стратегическое направление - «Развитие </w:t>
            </w:r>
            <w:r>
              <w:rPr>
                <w:b/>
                <w:i/>
                <w:sz w:val="26"/>
                <w:szCs w:val="26"/>
              </w:rPr>
              <w:t xml:space="preserve">человеческого капитала муниципального района «</w:t>
            </w:r>
            <w:r>
              <w:rPr>
                <w:b/>
                <w:i/>
                <w:sz w:val="26"/>
                <w:szCs w:val="26"/>
              </w:rPr>
              <w:t xml:space="preserve">Чернянский </w:t>
            </w:r>
            <w:r>
              <w:rPr>
                <w:b/>
                <w:i/>
                <w:sz w:val="26"/>
                <w:szCs w:val="26"/>
              </w:rPr>
              <w:t xml:space="preserve">район</w:t>
            </w:r>
            <w:r>
              <w:rPr>
                <w:b/>
                <w:i/>
                <w:sz w:val="26"/>
                <w:szCs w:val="26"/>
              </w:rPr>
              <w:t xml:space="preserve">»</w:t>
            </w:r>
            <w:r>
              <w:rPr>
                <w:b/>
                <w:i/>
                <w:sz w:val="26"/>
                <w:szCs w:val="26"/>
              </w:rPr>
              <w:t xml:space="preserve">………………...</w:t>
            </w:r>
            <w:r>
              <w:rPr>
                <w:b/>
                <w:i/>
                <w:sz w:val="26"/>
                <w:szCs w:val="26"/>
              </w:rPr>
            </w: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94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4.1.1</w:t>
            </w:r>
            <w:r>
              <w:rPr>
                <w:i/>
                <w:sz w:val="26"/>
                <w:szCs w:val="26"/>
              </w:rPr>
              <w:t xml:space="preserve">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Улучшение демографической ситуации и укрепление здоровья населения</w:t>
            </w:r>
            <w:r>
              <w:rPr>
                <w:i/>
                <w:sz w:val="26"/>
                <w:szCs w:val="26"/>
              </w:rPr>
              <w:t xml:space="preserve">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94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4.1.2</w:t>
            </w:r>
            <w:r>
              <w:rPr>
                <w:i/>
                <w:sz w:val="26"/>
                <w:szCs w:val="26"/>
              </w:rPr>
              <w:t xml:space="preserve">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Повышение качества образования и укрепление трудового потенциала…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95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4.1.3</w:t>
            </w:r>
            <w:r>
              <w:rPr>
                <w:i/>
                <w:sz w:val="26"/>
                <w:szCs w:val="26"/>
              </w:rPr>
              <w:t xml:space="preserve">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Повышение уровня жизни и социальная защита населения………………….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96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4.1.4</w:t>
            </w:r>
            <w:r>
              <w:rPr>
                <w:i/>
                <w:sz w:val="26"/>
                <w:szCs w:val="26"/>
              </w:rPr>
              <w:t xml:space="preserve">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Развитие культурного потенциала и воспитание молодого поколения…...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96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4.2</w:t>
            </w:r>
            <w:r>
              <w:rPr>
                <w:b/>
                <w:i/>
                <w:sz w:val="26"/>
                <w:szCs w:val="26"/>
              </w:rPr>
              <w:t xml:space="preserve">.</w:t>
            </w:r>
            <w:r>
              <w:rPr>
                <w:b/>
                <w:i/>
                <w:sz w:val="26"/>
                <w:szCs w:val="26"/>
              </w:rPr>
            </w: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Второе стратегическое направление </w:t>
            </w:r>
            <w:r>
              <w:rPr>
                <w:b/>
                <w:i/>
                <w:sz w:val="26"/>
                <w:szCs w:val="26"/>
              </w:rPr>
              <w:t xml:space="preserve">–«</w:t>
            </w:r>
            <w:r>
              <w:rPr>
                <w:b/>
                <w:i/>
                <w:sz w:val="26"/>
                <w:szCs w:val="26"/>
              </w:rPr>
              <w:t xml:space="preserve">Экономическое </w:t>
            </w:r>
            <w:r>
              <w:rPr>
                <w:b/>
                <w:i/>
                <w:sz w:val="26"/>
                <w:szCs w:val="26"/>
              </w:rPr>
            </w:r>
            <w:r>
              <w:rPr>
                <w:b/>
                <w:i/>
                <w:sz w:val="26"/>
                <w:szCs w:val="26"/>
              </w:rPr>
            </w:r>
          </w:p>
          <w:p>
            <w:pPr>
              <w:ind w:right="-108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инновационно</w:t>
            </w:r>
            <w:r>
              <w:rPr>
                <w:b/>
                <w:i/>
                <w:sz w:val="26"/>
                <w:szCs w:val="26"/>
              </w:rPr>
              <w:t xml:space="preserve">-ориентированное развитие муниципального района «Чернянский район</w:t>
            </w:r>
            <w:r>
              <w:rPr>
                <w:b/>
                <w:i/>
                <w:sz w:val="26"/>
                <w:szCs w:val="26"/>
              </w:rPr>
              <w:t xml:space="preserve">»</w:t>
            </w:r>
            <w:r>
              <w:rPr>
                <w:b/>
                <w:i/>
                <w:sz w:val="26"/>
                <w:szCs w:val="26"/>
              </w:rPr>
              <w:t xml:space="preserve">………………………………………………………….</w:t>
            </w:r>
            <w:r>
              <w:rPr>
                <w:b/>
                <w:i/>
                <w:sz w:val="26"/>
                <w:szCs w:val="26"/>
              </w:rPr>
            </w: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  <w:r>
              <w:rPr>
                <w:b/>
                <w:i/>
                <w:sz w:val="26"/>
                <w:szCs w:val="26"/>
              </w:rPr>
            </w:r>
            <w:r>
              <w:rPr>
                <w:b/>
                <w:i/>
                <w:sz w:val="26"/>
                <w:szCs w:val="26"/>
              </w:rPr>
            </w:r>
          </w:p>
          <w:p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  <w:r>
              <w:rPr>
                <w:b/>
                <w:i/>
                <w:sz w:val="26"/>
                <w:szCs w:val="26"/>
              </w:rPr>
            </w:r>
            <w:r>
              <w:rPr>
                <w:b/>
                <w:i/>
                <w:sz w:val="26"/>
                <w:szCs w:val="26"/>
              </w:rPr>
            </w:r>
          </w:p>
          <w:p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1</w:t>
            </w:r>
            <w:r>
              <w:rPr>
                <w:b/>
                <w:i/>
                <w:sz w:val="26"/>
                <w:szCs w:val="26"/>
              </w:rPr>
              <w:t xml:space="preserve">01</w:t>
            </w:r>
            <w:r>
              <w:rPr>
                <w:b/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4.2.1</w:t>
            </w:r>
            <w:r>
              <w:rPr>
                <w:i/>
                <w:sz w:val="26"/>
                <w:szCs w:val="26"/>
              </w:rPr>
              <w:t xml:space="preserve">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Развитие промышленных производств…………………………………………...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</w:t>
            </w:r>
            <w:r>
              <w:rPr>
                <w:i/>
                <w:sz w:val="26"/>
                <w:szCs w:val="26"/>
              </w:rPr>
              <w:t xml:space="preserve">01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r>
              <w:rPr>
                <w:i/>
                <w:sz w:val="26"/>
                <w:szCs w:val="26"/>
              </w:rPr>
              <w:t xml:space="preserve">4.2.2</w:t>
            </w:r>
            <w:r>
              <w:rPr>
                <w:i/>
                <w:sz w:val="26"/>
                <w:szCs w:val="26"/>
              </w:rPr>
              <w:t xml:space="preserve">.</w:t>
            </w:r>
            <w:r/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Развитие сельского хозяйства……………………………………………………...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</w:t>
            </w:r>
            <w:r>
              <w:rPr>
                <w:i/>
                <w:sz w:val="26"/>
                <w:szCs w:val="26"/>
              </w:rPr>
              <w:t xml:space="preserve">01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r>
              <w:rPr>
                <w:i/>
                <w:sz w:val="26"/>
                <w:szCs w:val="26"/>
              </w:rPr>
              <w:t xml:space="preserve">4.2.3</w:t>
            </w:r>
            <w:r>
              <w:rPr>
                <w:i/>
                <w:sz w:val="26"/>
                <w:szCs w:val="26"/>
              </w:rPr>
              <w:t xml:space="preserve">.</w:t>
            </w:r>
            <w:r/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Развитие строительства……………………………………………………………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</w:t>
            </w:r>
            <w:r>
              <w:rPr>
                <w:i/>
                <w:sz w:val="26"/>
                <w:szCs w:val="26"/>
              </w:rPr>
              <w:t xml:space="preserve">02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r>
              <w:rPr>
                <w:i/>
                <w:sz w:val="26"/>
                <w:szCs w:val="26"/>
              </w:rPr>
              <w:t xml:space="preserve">4.2.4</w:t>
            </w:r>
            <w:r>
              <w:rPr>
                <w:i/>
                <w:sz w:val="26"/>
                <w:szCs w:val="26"/>
              </w:rPr>
              <w:t xml:space="preserve">.</w:t>
            </w:r>
            <w:r/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Развитие сферы услуг ………………………………………………………………..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</w:t>
            </w:r>
            <w:r>
              <w:rPr>
                <w:i/>
                <w:sz w:val="26"/>
                <w:szCs w:val="26"/>
              </w:rPr>
              <w:t xml:space="preserve">02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r>
              <w:rPr>
                <w:i/>
                <w:sz w:val="26"/>
                <w:szCs w:val="26"/>
              </w:rPr>
              <w:t xml:space="preserve">4.2.5</w:t>
            </w:r>
            <w:r>
              <w:rPr>
                <w:i/>
                <w:sz w:val="26"/>
                <w:szCs w:val="26"/>
              </w:rPr>
              <w:t xml:space="preserve">.</w:t>
            </w:r>
            <w:r/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Развитие малого и среднего предпринимательства ………………………….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</w:t>
            </w:r>
            <w:r>
              <w:rPr>
                <w:i/>
                <w:sz w:val="26"/>
                <w:szCs w:val="26"/>
              </w:rPr>
              <w:t xml:space="preserve">03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r>
              <w:rPr>
                <w:i/>
                <w:sz w:val="26"/>
                <w:szCs w:val="26"/>
              </w:rPr>
              <w:t xml:space="preserve">4.2.6</w:t>
            </w:r>
            <w:r>
              <w:rPr>
                <w:i/>
                <w:sz w:val="26"/>
                <w:szCs w:val="26"/>
              </w:rPr>
              <w:t xml:space="preserve">.</w:t>
            </w:r>
            <w:r/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Развитие науки и инноваций ………………………………………………………..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</w:t>
            </w:r>
            <w:r>
              <w:rPr>
                <w:i/>
                <w:sz w:val="26"/>
                <w:szCs w:val="26"/>
              </w:rPr>
              <w:t xml:space="preserve">04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4.3.</w:t>
            </w:r>
            <w:r>
              <w:rPr>
                <w:b/>
                <w:i/>
                <w:sz w:val="26"/>
                <w:szCs w:val="26"/>
              </w:rPr>
            </w: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Третье стратегическое направление – «</w:t>
            </w:r>
            <w:r>
              <w:rPr>
                <w:b/>
                <w:i/>
                <w:sz w:val="26"/>
                <w:szCs w:val="26"/>
              </w:rPr>
              <w:t xml:space="preserve">П</w:t>
            </w:r>
            <w:r>
              <w:rPr>
                <w:b/>
                <w:i/>
                <w:sz w:val="26"/>
                <w:szCs w:val="26"/>
              </w:rPr>
              <w:t xml:space="preserve">овышение кач</w:t>
            </w:r>
            <w:r>
              <w:rPr>
                <w:b/>
                <w:i/>
                <w:sz w:val="26"/>
                <w:szCs w:val="26"/>
              </w:rPr>
              <w:t xml:space="preserve">ества условий жизн</w:t>
            </w:r>
            <w:r>
              <w:rPr>
                <w:b/>
                <w:i/>
                <w:sz w:val="26"/>
                <w:szCs w:val="26"/>
              </w:rPr>
              <w:t xml:space="preserve">е</w:t>
            </w:r>
            <w:r>
              <w:rPr>
                <w:b/>
                <w:i/>
                <w:sz w:val="26"/>
                <w:szCs w:val="26"/>
              </w:rPr>
              <w:t xml:space="preserve">деятельности</w:t>
            </w:r>
            <w:r>
              <w:rPr>
                <w:b/>
                <w:i/>
                <w:sz w:val="26"/>
                <w:szCs w:val="26"/>
              </w:rPr>
              <w:t xml:space="preserve"> </w:t>
            </w:r>
            <w:r>
              <w:rPr>
                <w:b/>
                <w:i/>
                <w:sz w:val="26"/>
                <w:szCs w:val="26"/>
              </w:rPr>
              <w:t xml:space="preserve">населения</w:t>
            </w:r>
            <w:r>
              <w:rPr>
                <w:b/>
                <w:i/>
                <w:sz w:val="26"/>
                <w:szCs w:val="26"/>
              </w:rPr>
              <w:t xml:space="preserve">»</w:t>
            </w:r>
            <w:r>
              <w:rPr>
                <w:b/>
                <w:i/>
                <w:sz w:val="26"/>
                <w:szCs w:val="26"/>
              </w:rPr>
              <w:t xml:space="preserve">…………………………………………</w:t>
            </w:r>
            <w:r>
              <w:rPr>
                <w:b/>
                <w:i/>
                <w:sz w:val="26"/>
                <w:szCs w:val="26"/>
              </w:rPr>
              <w:t xml:space="preserve">...</w:t>
            </w:r>
            <w:r>
              <w:rPr>
                <w:b/>
                <w:i/>
                <w:sz w:val="26"/>
                <w:szCs w:val="26"/>
              </w:rPr>
            </w:r>
            <w:r>
              <w:rPr>
                <w:b/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</w:r>
            <w:r>
              <w:rPr>
                <w:b/>
                <w:i/>
                <w:sz w:val="26"/>
                <w:szCs w:val="26"/>
              </w:rPr>
            </w:r>
            <w:r>
              <w:rPr>
                <w:b/>
                <w:i/>
                <w:sz w:val="26"/>
                <w:szCs w:val="26"/>
              </w:rPr>
            </w:r>
          </w:p>
          <w:p>
            <w:pPr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107</w:t>
            </w:r>
            <w:r>
              <w:rPr>
                <w:b/>
                <w:i/>
                <w:sz w:val="26"/>
                <w:szCs w:val="26"/>
              </w:rPr>
            </w:r>
            <w:r>
              <w:rPr>
                <w:b/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4.3.1</w:t>
            </w:r>
            <w:r>
              <w:rPr>
                <w:i/>
                <w:sz w:val="26"/>
                <w:szCs w:val="26"/>
              </w:rPr>
              <w:t xml:space="preserve">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Качество жилищных условий, комплексное благоустройство населенных пунктов…………………………………………………………………………………..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107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r>
              <w:rPr>
                <w:i/>
                <w:sz w:val="26"/>
                <w:szCs w:val="26"/>
              </w:rPr>
              <w:t xml:space="preserve">4.3.2</w:t>
            </w:r>
            <w:r>
              <w:rPr>
                <w:i/>
                <w:sz w:val="26"/>
                <w:szCs w:val="26"/>
              </w:rPr>
              <w:t xml:space="preserve">.</w:t>
            </w:r>
            <w:r/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Экология и рациональное природопользование………………………………….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107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r>
              <w:rPr>
                <w:i/>
                <w:sz w:val="26"/>
                <w:szCs w:val="26"/>
              </w:rPr>
              <w:t xml:space="preserve">4.3.3</w:t>
            </w:r>
            <w:r>
              <w:rPr>
                <w:i/>
                <w:sz w:val="26"/>
                <w:szCs w:val="26"/>
              </w:rPr>
              <w:t xml:space="preserve">.</w:t>
            </w:r>
            <w:r/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Укрепление правопорядка……………………………………………………………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107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r>
              <w:rPr>
                <w:i/>
                <w:sz w:val="26"/>
                <w:szCs w:val="26"/>
              </w:rPr>
              <w:t xml:space="preserve">4.3.4</w:t>
            </w:r>
            <w:r>
              <w:rPr>
                <w:i/>
                <w:sz w:val="26"/>
                <w:szCs w:val="26"/>
              </w:rPr>
              <w:t xml:space="preserve">.</w:t>
            </w:r>
            <w:r/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Развитие гражданского общества………………………………………………..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108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shd w:val="clear" w:color="auto" w:fill="auto"/>
            <w:tcW w:w="1019" w:type="dxa"/>
            <w:textDirection w:val="lrTb"/>
            <w:noWrap w:val="false"/>
          </w:tcPr>
          <w:p>
            <w:r>
              <w:rPr>
                <w:i/>
                <w:sz w:val="26"/>
                <w:szCs w:val="26"/>
              </w:rPr>
              <w:t xml:space="preserve">4.3.5</w:t>
            </w:r>
            <w:r>
              <w:rPr>
                <w:i/>
                <w:sz w:val="26"/>
                <w:szCs w:val="26"/>
              </w:rPr>
              <w:t xml:space="preserve">.</w:t>
            </w:r>
            <w:r/>
          </w:p>
        </w:tc>
        <w:tc>
          <w:tcPr>
            <w:shd w:val="clear" w:color="auto" w:fill="auto"/>
            <w:tcW w:w="8337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Пространственное развитие……………………………………………………….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1</w:t>
            </w:r>
            <w:r>
              <w:rPr>
                <w:i/>
                <w:sz w:val="26"/>
                <w:szCs w:val="26"/>
              </w:rPr>
              <w:t xml:space="preserve">08</w:t>
            </w:r>
            <w:r>
              <w:rPr>
                <w:i/>
                <w:sz w:val="26"/>
                <w:szCs w:val="26"/>
              </w:rPr>
            </w:r>
          </w:p>
        </w:tc>
      </w:tr>
      <w:tr>
        <w:tblPrEx/>
        <w:trPr/>
        <w:tc>
          <w:tcPr>
            <w:gridSpan w:val="2"/>
            <w:shd w:val="clear" w:color="auto" w:fill="auto"/>
            <w:tcW w:w="9356" w:type="dxa"/>
            <w:textDirection w:val="lrTb"/>
            <w:noWrap w:val="false"/>
          </w:tcPr>
          <w:p>
            <w:pPr>
              <w:ind w:right="-108"/>
              <w:rPr>
                <w:i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Раздел 5. </w:t>
            </w:r>
            <w:r>
              <w:rPr>
                <w:b/>
                <w:sz w:val="26"/>
                <w:szCs w:val="26"/>
              </w:rPr>
              <w:t xml:space="preserve">Основные результаты реализации </w:t>
            </w:r>
            <w:r>
              <w:rPr>
                <w:b/>
                <w:sz w:val="26"/>
                <w:szCs w:val="26"/>
              </w:rPr>
              <w:t xml:space="preserve">С</w:t>
            </w:r>
            <w:r>
              <w:rPr>
                <w:b/>
                <w:sz w:val="26"/>
                <w:szCs w:val="26"/>
              </w:rPr>
              <w:t xml:space="preserve">тратегии……..</w:t>
            </w:r>
            <w:r>
              <w:rPr>
                <w:b/>
                <w:sz w:val="26"/>
                <w:szCs w:val="26"/>
              </w:rPr>
              <w:t xml:space="preserve">……………….....</w:t>
            </w:r>
            <w:r>
              <w:rPr>
                <w:i/>
                <w:sz w:val="26"/>
                <w:szCs w:val="26"/>
              </w:rPr>
            </w:r>
            <w:r>
              <w:rPr>
                <w:i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112</w:t>
            </w:r>
            <w:r>
              <w:rPr>
                <w:b/>
                <w:sz w:val="26"/>
                <w:szCs w:val="26"/>
              </w:rPr>
            </w:r>
            <w:r>
              <w:rPr>
                <w:b/>
                <w:sz w:val="26"/>
                <w:szCs w:val="26"/>
              </w:rPr>
            </w:r>
          </w:p>
        </w:tc>
      </w:tr>
      <w:tr>
        <w:tblPrEx/>
        <w:trPr/>
        <w:tc>
          <w:tcPr>
            <w:gridSpan w:val="2"/>
            <w:shd w:val="clear" w:color="auto" w:fill="auto"/>
            <w:tcW w:w="9356" w:type="dxa"/>
            <w:textDirection w:val="lrTb"/>
            <w:noWrap w:val="false"/>
          </w:tcPr>
          <w:p>
            <w:pPr>
              <w:ind w:right="-64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Приложение 1. Перечень муниципальных программ </w:t>
            </w:r>
            <w:r>
              <w:rPr>
                <w:b/>
                <w:sz w:val="26"/>
                <w:szCs w:val="26"/>
              </w:rPr>
              <w:t xml:space="preserve">…</w:t>
            </w:r>
            <w:r>
              <w:rPr>
                <w:b/>
                <w:sz w:val="26"/>
                <w:szCs w:val="26"/>
              </w:rPr>
              <w:t xml:space="preserve">…</w:t>
            </w:r>
            <w:r>
              <w:rPr>
                <w:b/>
                <w:sz w:val="26"/>
                <w:szCs w:val="26"/>
              </w:rPr>
              <w:t xml:space="preserve">……………</w:t>
            </w:r>
            <w:r>
              <w:rPr>
                <w:b/>
                <w:sz w:val="26"/>
                <w:szCs w:val="26"/>
              </w:rPr>
              <w:t xml:space="preserve">………….</w:t>
            </w:r>
            <w:r>
              <w:rPr>
                <w:b/>
                <w:sz w:val="26"/>
                <w:szCs w:val="26"/>
              </w:rPr>
            </w:r>
            <w:r>
              <w:rPr>
                <w:b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114</w:t>
            </w:r>
            <w:r>
              <w:rPr>
                <w:b/>
                <w:sz w:val="26"/>
                <w:szCs w:val="26"/>
              </w:rPr>
            </w:r>
            <w:r>
              <w:rPr>
                <w:b/>
                <w:sz w:val="26"/>
                <w:szCs w:val="26"/>
              </w:rPr>
            </w:r>
          </w:p>
        </w:tc>
      </w:tr>
      <w:tr>
        <w:tblPrEx/>
        <w:trPr/>
        <w:tc>
          <w:tcPr>
            <w:gridSpan w:val="2"/>
            <w:shd w:val="clear" w:color="auto" w:fill="auto"/>
            <w:tcW w:w="9356" w:type="dxa"/>
            <w:textDirection w:val="lrTb"/>
            <w:noWrap w:val="false"/>
          </w:tcPr>
          <w:p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Приложение 2. Перечень приор</w:t>
            </w:r>
            <w:r>
              <w:rPr>
                <w:b/>
                <w:sz w:val="26"/>
                <w:szCs w:val="26"/>
              </w:rPr>
              <w:t xml:space="preserve">итетных инвестиционных проектов ………….</w:t>
            </w:r>
            <w:r>
              <w:rPr>
                <w:b/>
                <w:sz w:val="26"/>
                <w:szCs w:val="26"/>
              </w:rPr>
            </w:r>
            <w:r>
              <w:rPr>
                <w:b/>
                <w:sz w:val="26"/>
                <w:szCs w:val="26"/>
              </w:rPr>
            </w:r>
          </w:p>
          <w:p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Приложение 3. Ресурсное обеспечение……………………………………………...</w:t>
            </w:r>
            <w:r>
              <w:rPr>
                <w:b/>
                <w:sz w:val="26"/>
                <w:szCs w:val="26"/>
              </w:rPr>
            </w:r>
            <w:r>
              <w:rPr>
                <w:b/>
                <w:sz w:val="26"/>
                <w:szCs w:val="26"/>
              </w:rPr>
            </w:r>
          </w:p>
        </w:tc>
        <w:tc>
          <w:tcPr>
            <w:shd w:val="clear" w:color="auto" w:fill="auto"/>
            <w:tcW w:w="606" w:type="dxa"/>
            <w:textDirection w:val="lrTb"/>
            <w:noWrap w:val="false"/>
          </w:tcPr>
          <w:p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</w:t>
            </w:r>
            <w:r>
              <w:rPr>
                <w:b/>
                <w:sz w:val="26"/>
                <w:szCs w:val="26"/>
              </w:rPr>
              <w:t xml:space="preserve">18</w:t>
            </w:r>
            <w:r>
              <w:rPr>
                <w:b/>
                <w:sz w:val="26"/>
                <w:szCs w:val="26"/>
              </w:rPr>
            </w:r>
          </w:p>
          <w:p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120</w:t>
            </w:r>
            <w:r>
              <w:rPr>
                <w:b/>
                <w:sz w:val="26"/>
                <w:szCs w:val="26"/>
              </w:rPr>
            </w:r>
            <w:r>
              <w:rPr>
                <w:b/>
                <w:sz w:val="26"/>
                <w:szCs w:val="26"/>
              </w:rPr>
            </w:r>
          </w:p>
        </w:tc>
      </w:tr>
    </w:tbl>
    <w:p>
      <w:r/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___________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6180" w:leader="none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36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both"/>
        <w:spacing w:line="36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both"/>
        <w:spacing w:line="360" w:lineRule="auto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both"/>
        <w:rPr>
          <w:b/>
          <w:bCs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</w:p>
    <w:p>
      <w:pPr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</w:p>
    <w:p>
      <w:pPr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</w:p>
    <w:p>
      <w:pPr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</w:p>
    <w:p>
      <w:pPr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</w:p>
    <w:p>
      <w:pPr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</w:p>
    <w:p>
      <w:pPr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</w:p>
    <w:p>
      <w:pPr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</w:p>
    <w:p>
      <w:pPr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</w:p>
    <w:p>
      <w:pPr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</w:p>
    <w:p>
      <w:pPr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</w:p>
    <w:p>
      <w:pPr>
        <w:jc w:val="both"/>
        <w:rPr>
          <w:b/>
          <w:bCs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  <w:r>
        <w:rPr>
          <w:b/>
          <w:bCs/>
          <w:color w:val="ff0000"/>
          <w:sz w:val="28"/>
          <w:szCs w:val="28"/>
        </w:rPr>
      </w:r>
    </w:p>
    <w:p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Введение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ind w:right="141" w:firstLine="709"/>
        <w:jc w:val="both"/>
        <w:rPr>
          <w:sz w:val="28"/>
        </w:rPr>
      </w:pPr>
      <w:r>
        <w:rPr>
          <w:sz w:val="28"/>
        </w:rPr>
        <w:t xml:space="preserve">Актуальность решения вопросов стратегического управления развитием территории обусловлена преобразованиями экономического уклада жизни страны, произошедшими в последнее десятилетие </w:t>
      </w:r>
      <w:r>
        <w:rPr>
          <w:sz w:val="28"/>
          <w:lang w:val="en-US"/>
        </w:rPr>
        <w:t xml:space="preserve">XX</w:t>
      </w:r>
      <w:r>
        <w:rPr>
          <w:sz w:val="28"/>
        </w:rPr>
        <w:t xml:space="preserve"> века. Основными из них б</w:t>
      </w:r>
      <w:r>
        <w:rPr>
          <w:sz w:val="28"/>
        </w:rPr>
        <w:t xml:space="preserve">ыли и остаются: экономическая децентрализация, расширение прав регионов и муниципальных образований, их экономических возможностей, и, в значительной степени, отсутствие эффективной методики управления социально-экономическими процессами на местном уровне.</w:t>
      </w:r>
      <w:r>
        <w:rPr>
          <w:sz w:val="28"/>
        </w:rPr>
      </w:r>
      <w:r>
        <w:rPr>
          <w:sz w:val="28"/>
        </w:rPr>
      </w:r>
    </w:p>
    <w:p>
      <w:pPr>
        <w:ind w:right="141" w:firstLine="709"/>
        <w:jc w:val="both"/>
        <w:rPr>
          <w:sz w:val="28"/>
        </w:rPr>
      </w:pPr>
      <w:r>
        <w:rPr>
          <w:sz w:val="28"/>
        </w:rPr>
        <w:t xml:space="preserve">К</w:t>
      </w:r>
      <w:r>
        <w:rPr>
          <w:sz w:val="28"/>
        </w:rPr>
        <w:t xml:space="preserve">аждое муниципальное образование во многом самостоятельно несет ответственность за свое комплексное социально-экономическое состояние, имидж и перспективы развития. </w:t>
      </w:r>
      <w:r>
        <w:rPr>
          <w:sz w:val="28"/>
        </w:rPr>
      </w:r>
      <w:r>
        <w:rPr>
          <w:sz w:val="28"/>
        </w:rPr>
      </w:r>
    </w:p>
    <w:p>
      <w:pPr>
        <w:ind w:right="141" w:firstLine="709"/>
        <w:jc w:val="both"/>
        <w:rPr>
          <w:sz w:val="28"/>
        </w:rPr>
      </w:pPr>
      <w:r>
        <w:rPr>
          <w:sz w:val="28"/>
        </w:rPr>
        <w:t xml:space="preserve">Изменение содержания местного самоуправления в связи с принятием             6 октября 2003 г. Федерального закона № 131-ФЗ «Об общих принципах организац</w:t>
      </w:r>
      <w:r>
        <w:rPr>
          <w:sz w:val="28"/>
        </w:rPr>
        <w:t xml:space="preserve">ии местного самоуправления в Российской Федерации», провозглашающего возможность под свою ответственность решение населением соответствующей территории местных вопросов, стало основанием для самостоятельной разработки и реализации муниципальной стратегии. </w:t>
      </w:r>
      <w:r>
        <w:rPr>
          <w:sz w:val="28"/>
        </w:rPr>
      </w:r>
      <w:r>
        <w:rPr>
          <w:sz w:val="28"/>
        </w:rPr>
      </w:r>
    </w:p>
    <w:p>
      <w:pPr>
        <w:ind w:right="141" w:firstLine="709"/>
        <w:jc w:val="both"/>
        <w:rPr>
          <w:sz w:val="28"/>
        </w:rPr>
      </w:pPr>
      <w:r>
        <w:rPr>
          <w:sz w:val="28"/>
        </w:rPr>
        <w:t xml:space="preserve">Следовательно,</w:t>
      </w:r>
      <w:r>
        <w:rPr>
          <w:sz w:val="28"/>
        </w:rPr>
        <w:t xml:space="preserve"> подотчетные населению органы местного самоуправления получили право формулировать долгосрочные и среднесрочные цели местного развития и определять способы их достижения.</w:t>
      </w:r>
      <w:r>
        <w:rPr>
          <w:sz w:val="28"/>
        </w:rPr>
      </w:r>
      <w:r>
        <w:rPr>
          <w:sz w:val="28"/>
        </w:rPr>
      </w:r>
    </w:p>
    <w:p>
      <w:pPr>
        <w:ind w:right="141" w:firstLine="709"/>
        <w:jc w:val="both"/>
        <w:rPr>
          <w:sz w:val="28"/>
        </w:rPr>
      </w:pPr>
      <w:r>
        <w:rPr>
          <w:sz w:val="28"/>
        </w:rPr>
        <w:t xml:space="preserve">Принятие этого закона дало возможность включать наиболее активные слои населения в реш</w:t>
      </w:r>
      <w:r>
        <w:rPr>
          <w:sz w:val="28"/>
        </w:rPr>
        <w:t xml:space="preserve">ение местных проблем, что порождает у людей заинтересованность в судьбе своей малой родины,  развитии местного хозяйства, использовании природных, интеллектуальных, управленческих и других ресурсов. Это позволяет населению  самому подключиться к поиску сре</w:t>
      </w:r>
      <w:r>
        <w:rPr>
          <w:sz w:val="28"/>
        </w:rPr>
        <w:t xml:space="preserve">дств дл</w:t>
      </w:r>
      <w:r>
        <w:rPr>
          <w:sz w:val="28"/>
        </w:rPr>
        <w:t xml:space="preserve">я решения социальных вопросов, созданию современной инфраструктуры муниципального образования, улучшению окружающей среды.  Долгосрочным ориентиром в этой работе должны стать стратегические планы социально-экономического развития муниципальных образований.</w:t>
      </w:r>
      <w:r>
        <w:rPr>
          <w:sz w:val="28"/>
        </w:rPr>
      </w:r>
      <w:r>
        <w:rPr>
          <w:sz w:val="28"/>
        </w:rPr>
      </w:r>
    </w:p>
    <w:p>
      <w:pPr>
        <w:ind w:right="141" w:firstLine="709"/>
        <w:jc w:val="both"/>
        <w:rPr>
          <w:sz w:val="28"/>
        </w:rPr>
      </w:pPr>
      <w:r>
        <w:rPr>
          <w:sz w:val="28"/>
        </w:rPr>
        <w:t xml:space="preserve">Сегодня процессы ра</w:t>
      </w:r>
      <w:r>
        <w:rPr>
          <w:sz w:val="28"/>
        </w:rPr>
        <w:t xml:space="preserve">звития стратегического планирования на муниципальном уровне </w:t>
      </w:r>
      <w:r>
        <w:rPr>
          <w:sz w:val="28"/>
        </w:rPr>
        <w:t xml:space="preserve">идут во всем мире. Растет роль организующих способностей местных властей, объединяющих различные субъекты экономики с различными интересами на территории муниципального образования для достижения общих целей. </w:t>
      </w:r>
      <w:r>
        <w:rPr>
          <w:sz w:val="28"/>
        </w:rPr>
      </w:r>
      <w:r>
        <w:rPr>
          <w:sz w:val="28"/>
        </w:rPr>
      </w:r>
    </w:p>
    <w:p>
      <w:pPr>
        <w:pStyle w:val="1030"/>
        <w:ind w:right="141" w:firstLine="709"/>
        <w:spacing w:line="240" w:lineRule="auto"/>
        <w:rPr>
          <w:sz w:val="28"/>
        </w:rPr>
      </w:pPr>
      <w:r>
        <w:rPr>
          <w:sz w:val="28"/>
        </w:rPr>
        <w:t xml:space="preserve">Новый импульс развитию стратегического планирования придал Федеральный закон от 28 июня 2014 года № 172-ФЗ «О стратегическом планировании в Российской Федерации»</w:t>
      </w:r>
      <w:r>
        <w:rPr>
          <w:sz w:val="28"/>
        </w:rPr>
        <w:t xml:space="preserve">. </w:t>
      </w:r>
      <w:r>
        <w:rPr>
          <w:sz w:val="28"/>
        </w:rPr>
        <w:t xml:space="preserve">В России наиболее активные муниципальные образования также осуществляют стратегическое </w:t>
      </w:r>
      <w:r>
        <w:rPr>
          <w:sz w:val="28"/>
        </w:rPr>
        <w:t xml:space="preserve">планирование социально-экономического развития, используя опыт западных городов и свои отечественные разработки. </w:t>
      </w:r>
      <w:r>
        <w:rPr>
          <w:sz w:val="28"/>
        </w:rPr>
      </w:r>
      <w:r>
        <w:rPr>
          <w:sz w:val="28"/>
        </w:rPr>
      </w:r>
    </w:p>
    <w:p>
      <w:pPr>
        <w:pStyle w:val="1030"/>
        <w:ind w:right="141" w:firstLine="709"/>
        <w:spacing w:line="240" w:lineRule="auto"/>
        <w:rPr>
          <w:sz w:val="28"/>
        </w:rPr>
      </w:pPr>
      <w:r>
        <w:rPr>
          <w:sz w:val="28"/>
        </w:rPr>
        <w:t xml:space="preserve">В современных условиях перед органами местного самоуправления </w:t>
      </w:r>
      <w:r>
        <w:rPr>
          <w:sz w:val="28"/>
        </w:rPr>
        <w:t xml:space="preserve">Чернянского</w:t>
      </w:r>
      <w:r>
        <w:rPr>
          <w:sz w:val="28"/>
        </w:rPr>
        <w:t xml:space="preserve"> муниципального округа стоит задача согласования интересов всех субъектов муниципального образования, что даст возможность эффективно развиваться округу. Назрела необходимость </w:t>
      </w:r>
      <w:r>
        <w:rPr>
          <w:sz w:val="28"/>
        </w:rPr>
        <w:t xml:space="preserve">корректировки</w:t>
      </w:r>
      <w:r>
        <w:rPr>
          <w:sz w:val="28"/>
        </w:rPr>
        <w:t xml:space="preserve"> стратегии развития территории, которая </w:t>
      </w:r>
      <w:r>
        <w:rPr>
          <w:sz w:val="28"/>
        </w:rPr>
        <w:t xml:space="preserve">выступает</w:t>
      </w:r>
      <w:r>
        <w:rPr>
          <w:sz w:val="28"/>
        </w:rPr>
        <w:t xml:space="preserve"> документом общественного согласия.</w:t>
      </w:r>
      <w:r>
        <w:rPr>
          <w:sz w:val="28"/>
        </w:rPr>
      </w:r>
      <w:r>
        <w:rPr>
          <w:sz w:val="28"/>
        </w:rPr>
      </w:r>
    </w:p>
    <w:p>
      <w:pPr>
        <w:tabs>
          <w:tab w:val="left" w:pos="618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1. Оценка исходной социально-экономической ситуации муниципального </w:t>
      </w:r>
      <w:r>
        <w:rPr>
          <w:b/>
          <w:sz w:val="28"/>
          <w:szCs w:val="28"/>
        </w:rPr>
        <w:t xml:space="preserve">района</w:t>
      </w:r>
      <w:r>
        <w:rPr>
          <w:b/>
          <w:sz w:val="28"/>
          <w:szCs w:val="28"/>
        </w:rPr>
        <w:t xml:space="preserve"> «Чернянский </w:t>
      </w:r>
      <w:r>
        <w:rPr>
          <w:b/>
          <w:sz w:val="28"/>
          <w:szCs w:val="28"/>
        </w:rPr>
        <w:t xml:space="preserve">район</w:t>
      </w:r>
      <w:r>
        <w:rPr>
          <w:b/>
          <w:sz w:val="28"/>
          <w:szCs w:val="28"/>
        </w:rPr>
        <w:t xml:space="preserve">»</w:t>
      </w:r>
      <w:r>
        <w:rPr>
          <w:b/>
          <w:sz w:val="28"/>
          <w:szCs w:val="28"/>
        </w:rPr>
        <w:t xml:space="preserve">Б</w:t>
      </w:r>
      <w:r>
        <w:rPr>
          <w:b/>
          <w:sz w:val="28"/>
          <w:szCs w:val="28"/>
        </w:rPr>
        <w:t xml:space="preserve">елгородской</w:t>
      </w:r>
      <w:r>
        <w:rPr>
          <w:b/>
          <w:sz w:val="28"/>
          <w:szCs w:val="28"/>
        </w:rPr>
        <w:t xml:space="preserve"> области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  <w:r>
        <w:rPr>
          <w:b/>
          <w:sz w:val="28"/>
          <w:szCs w:val="28"/>
          <w:u w:val="single"/>
        </w:rPr>
      </w:r>
      <w:r>
        <w:rPr>
          <w:b/>
          <w:sz w:val="28"/>
          <w:szCs w:val="28"/>
          <w:u w:val="single"/>
        </w:rPr>
      </w:r>
    </w:p>
    <w:p>
      <w:pPr>
        <w:numPr>
          <w:ilvl w:val="1"/>
          <w:numId w:val="2"/>
        </w:numPr>
        <w:ind w:left="0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Краткие сведения о муниципальном </w:t>
      </w:r>
      <w:r>
        <w:rPr>
          <w:b/>
          <w:sz w:val="28"/>
          <w:szCs w:val="28"/>
        </w:rPr>
        <w:t xml:space="preserve">районе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003"/>
        <w:ind w:firstLine="708"/>
        <w:jc w:val="both"/>
        <w:rPr>
          <w:b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Впервые по документам архива деревня Чернянка упоминается в писц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вой книге Ново - Оскольского уезда  1656 – 1657 годов.  Исходя из этого, датой образ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вания поселка Чернян</w:t>
      </w:r>
      <w:r>
        <w:rPr>
          <w:sz w:val="28"/>
          <w:szCs w:val="28"/>
          <w:highlight w:val="white"/>
        </w:rPr>
        <w:t xml:space="preserve">ка считается 1656 год.</w:t>
      </w:r>
      <w:r>
        <w:rPr>
          <w:b/>
          <w:sz w:val="28"/>
          <w:szCs w:val="28"/>
          <w:highlight w:val="white"/>
        </w:rPr>
      </w:r>
      <w:r>
        <w:rPr>
          <w:b/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Постановлением ВЦИК и СНК РСФСР от 30 июля 1928 года образован Че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нянский район, а 25 февраля 2025 года вступ</w:t>
      </w:r>
      <w:r>
        <w:rPr>
          <w:sz w:val="28"/>
          <w:szCs w:val="28"/>
          <w:highlight w:val="white"/>
        </w:rPr>
        <w:t xml:space="preserve">ил в силу Закон Белгородской области №462 «О преобразовании всех поселений, входящих в состав муниципального района «Чернянский район» Белгородской области» в результате объединений поселений образован «Чернянский муниципальный округ Белгородской области».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Муниципальное образование «Чернянский муниципальный округ» как территориальное звено местного самоуправления представляет собой часть территории Белг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родской област</w:t>
      </w:r>
      <w:r>
        <w:rPr>
          <w:sz w:val="28"/>
          <w:szCs w:val="28"/>
          <w:highlight w:val="white"/>
        </w:rPr>
        <w:t xml:space="preserve">и </w:t>
      </w:r>
      <w:r>
        <w:rPr>
          <w:sz w:val="28"/>
          <w:szCs w:val="28"/>
          <w:highlight w:val="white"/>
        </w:rPr>
        <w:t xml:space="preserve">и является ее самоуправляемой административно-территориальной единицей. Административным центром округа является поселок Чернянка, расположенный </w:t>
      </w:r>
      <w:r>
        <w:rPr>
          <w:sz w:val="28"/>
          <w:szCs w:val="28"/>
          <w:highlight w:val="white"/>
        </w:rPr>
        <w:t xml:space="preserve">на левом берегу реки Оскол, одного из притоков реки Северский Д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нец.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highlight w:val="white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452120</wp:posOffset>
                </wp:positionV>
                <wp:extent cx="6172200" cy="3435985"/>
                <wp:effectExtent l="0" t="0" r="0" b="0"/>
                <wp:wrapTopAndBottom/>
                <wp:docPr id="6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2916453" name="" hidden="0"/>
                        <pic:cNvPicPr/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172200" cy="3435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58241;o:allowoverlap:true;o:allowincell:true;mso-position-horizontal-relative:text;margin-left:0.00pt;mso-position-horizontal:absolute;mso-position-vertical-relative:text;margin-top:35.60pt;mso-position-vertical:absolute;width:486.00pt;height:270.55pt;mso-wrap-distance-left:9.00pt;mso-wrap-distance-top:0.00pt;mso-wrap-distance-right:9.00pt;mso-wrap-distance-bottom:0.00pt;" stroked="f">
                <v:path textboxrect="0,0,0,0"/>
                <w10:wrap type="topAndBottom"/>
                <v:imagedata r:id="rId25" o:title=""/>
              </v:shape>
            </w:pict>
          </mc:Fallback>
        </mc:AlternateConten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299"/>
        <w:ind w:firstLine="708"/>
        <w:jc w:val="right"/>
        <w:rPr>
          <w:b/>
          <w:szCs w:val="28"/>
          <w:highlight w:val="white"/>
        </w:rPr>
      </w:pPr>
      <w:r>
        <w:rPr>
          <w:b/>
          <w:szCs w:val="28"/>
          <w:highlight w:val="white"/>
        </w:rPr>
        <w:t xml:space="preserve">Чернянский округ</w:t>
      </w:r>
      <w:r>
        <w:rPr>
          <w:b/>
          <w:szCs w:val="28"/>
          <w:highlight w:val="white"/>
        </w:rPr>
      </w:r>
      <w:r>
        <w:rPr>
          <w:b/>
          <w:szCs w:val="28"/>
          <w:highlight w:val="white"/>
        </w:rPr>
      </w:r>
    </w:p>
    <w:p>
      <w:pPr>
        <w:pStyle w:val="1299"/>
        <w:ind w:firstLine="708"/>
        <w:jc w:val="center"/>
        <w:rPr>
          <w:b/>
          <w:szCs w:val="28"/>
          <w:highlight w:val="white"/>
        </w:rPr>
      </w:pPr>
      <w:r>
        <w:rPr>
          <w:b/>
          <w:szCs w:val="28"/>
          <w:highlight w:val="white"/>
        </w:rPr>
        <w:t xml:space="preserve">Рис. 1 Карта</w:t>
      </w:r>
      <w:r>
        <w:rPr>
          <w:b/>
          <w:szCs w:val="28"/>
          <w:highlight w:val="white"/>
        </w:rPr>
        <w:t xml:space="preserve"> Чернянского муниципального округа</w:t>
      </w:r>
      <w:r>
        <w:rPr>
          <w:b/>
          <w:szCs w:val="28"/>
          <w:highlight w:val="white"/>
        </w:rPr>
      </w:r>
      <w:r>
        <w:rPr>
          <w:b/>
          <w:szCs w:val="28"/>
          <w:highlight w:val="white"/>
        </w:rPr>
      </w:r>
    </w:p>
    <w:p>
      <w:pPr>
        <w:pStyle w:val="1299"/>
        <w:ind w:firstLine="708"/>
        <w:jc w:val="center"/>
        <w:rPr>
          <w:szCs w:val="28"/>
          <w:highlight w:val="yellow"/>
        </w:rPr>
      </w:pPr>
      <w:r>
        <w:rPr>
          <w:szCs w:val="28"/>
          <w:highlight w:val="yellow"/>
        </w:rPr>
      </w:r>
      <w:r>
        <w:rPr>
          <w:szCs w:val="28"/>
          <w:highlight w:val="yellow"/>
        </w:rPr>
      </w:r>
      <w:r>
        <w:rPr>
          <w:szCs w:val="28"/>
          <w:highlight w:val="yellow"/>
        </w:rPr>
      </w:r>
    </w:p>
    <w:p>
      <w:pPr>
        <w:pStyle w:val="1299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Чернянский муниципальный округ расположен в северо-восточной части Белгородской области в пред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лах Среднерусской равнин</w:t>
      </w:r>
      <w:r>
        <w:rPr>
          <w:sz w:val="28"/>
          <w:szCs w:val="28"/>
          <w:highlight w:val="white"/>
        </w:rPr>
        <w:t xml:space="preserve">ы. Территория округа занимает </w:t>
      </w:r>
      <w:r>
        <w:rPr>
          <w:sz w:val="28"/>
          <w:szCs w:val="28"/>
          <w:highlight w:val="white"/>
        </w:rPr>
        <w:t xml:space="preserve">1 227,5 кв. км (4,5 % террит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рии области).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299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На сев</w:t>
      </w:r>
      <w:r>
        <w:rPr>
          <w:sz w:val="28"/>
          <w:szCs w:val="28"/>
          <w:highlight w:val="white"/>
        </w:rPr>
        <w:t xml:space="preserve">ере он граничит с Губкинским и Старооскольским городскими о</w:t>
      </w:r>
      <w:r>
        <w:rPr>
          <w:sz w:val="28"/>
          <w:szCs w:val="28"/>
          <w:highlight w:val="white"/>
        </w:rPr>
        <w:t xml:space="preserve">к</w:t>
      </w:r>
      <w:r>
        <w:rPr>
          <w:sz w:val="28"/>
          <w:szCs w:val="28"/>
          <w:highlight w:val="white"/>
        </w:rPr>
        <w:t xml:space="preserve">ругами, на западе – с Корочанским, на юге – с Новооскольским, на востоке – с Кра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</w:rPr>
        <w:t xml:space="preserve">ненским округами.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Расстояние от районного центра  поселка Чернянка до областного це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тра города Белгород составляет </w:t>
      </w:r>
      <w:r>
        <w:rPr>
          <w:sz w:val="28"/>
          <w:szCs w:val="28"/>
          <w:highlight w:val="white"/>
        </w:rPr>
        <w:t xml:space="preserve">по железной дороге – 229 км, по автодорогам – </w:t>
      </w:r>
      <w:r>
        <w:rPr>
          <w:sz w:val="28"/>
          <w:szCs w:val="28"/>
          <w:highlight w:val="white"/>
        </w:rPr>
        <w:t xml:space="preserve">               </w:t>
      </w:r>
      <w:r>
        <w:rPr>
          <w:sz w:val="28"/>
          <w:szCs w:val="28"/>
          <w:highlight w:val="white"/>
        </w:rPr>
        <w:t xml:space="preserve">110 км.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Рельеф представляет собой пологоволнистую равнину, которая расчлен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на</w:t>
      </w:r>
      <w:r>
        <w:rPr>
          <w:sz w:val="28"/>
          <w:szCs w:val="28"/>
          <w:highlight w:val="white"/>
        </w:rPr>
        <w:t xml:space="preserve"> долинами рек и густой глубоковрезанной овражно-балочной сетью с многочисле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ными отвершками. Основными формами рельефа</w:t>
      </w:r>
      <w:r>
        <w:rPr>
          <w:sz w:val="28"/>
          <w:szCs w:val="28"/>
          <w:highlight w:val="white"/>
        </w:rPr>
        <w:t xml:space="preserve"> на территории округа являются: междуречные плато, водоразделы, долины ручьев и рек, поймы, те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расы, балки и овраги.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Основными почвами являются черноземы: типичные, выщелоченные, соло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цеватые, карбонатные и серые лесные почвы.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Климат умеренно-континентальн</w:t>
      </w:r>
      <w:r>
        <w:rPr>
          <w:sz w:val="28"/>
          <w:szCs w:val="28"/>
          <w:highlight w:val="white"/>
        </w:rPr>
        <w:t xml:space="preserve">ый. Зима холодная с частыми оттепел</w:t>
      </w:r>
      <w:r>
        <w:rPr>
          <w:sz w:val="28"/>
          <w:szCs w:val="28"/>
          <w:highlight w:val="white"/>
        </w:rPr>
        <w:t xml:space="preserve">я</w:t>
      </w:r>
      <w:r>
        <w:rPr>
          <w:sz w:val="28"/>
          <w:szCs w:val="28"/>
          <w:highlight w:val="white"/>
        </w:rPr>
        <w:t xml:space="preserve">ми, лето солнечное и продолжительное со значительным количеством осадков. Среднегодовая температура воздуха составляет + 6,1 градусов. Продолжител</w:t>
      </w:r>
      <w:r>
        <w:rPr>
          <w:sz w:val="28"/>
          <w:szCs w:val="28"/>
          <w:highlight w:val="white"/>
        </w:rPr>
        <w:t xml:space="preserve">ь</w:t>
      </w:r>
      <w:r>
        <w:rPr>
          <w:sz w:val="28"/>
          <w:szCs w:val="28"/>
          <w:highlight w:val="white"/>
        </w:rPr>
        <w:t xml:space="preserve">ность теплого периода 157 дней, холодного – 185 дней. Ср</w:t>
      </w:r>
      <w:r>
        <w:rPr>
          <w:sz w:val="28"/>
          <w:szCs w:val="28"/>
          <w:highlight w:val="white"/>
        </w:rPr>
        <w:t xml:space="preserve">еднегодовое колич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ство осадков 468 мм.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Водные ресурсы округа представлены поверхностными водными объектами (реками, озерами, прудами, водохранилищами) и подземными вод</w:t>
      </w:r>
      <w:r>
        <w:rPr>
          <w:sz w:val="28"/>
          <w:szCs w:val="28"/>
          <w:highlight w:val="white"/>
        </w:rPr>
        <w:t xml:space="preserve">а</w:t>
      </w:r>
      <w:r>
        <w:rPr>
          <w:sz w:val="28"/>
          <w:szCs w:val="28"/>
          <w:highlight w:val="white"/>
        </w:rPr>
        <w:t xml:space="preserve">ми. Все реки принадлежат бассейну реки Дон: река Оскол (главная водная артерия), ее притоки Орлик, Ольшан</w:t>
      </w:r>
      <w:r>
        <w:rPr>
          <w:sz w:val="28"/>
          <w:szCs w:val="28"/>
          <w:highlight w:val="white"/>
        </w:rPr>
        <w:t xml:space="preserve">ка, Халань, Грязная Потудань. Имеются шесть разв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данных месторождений подземных пресных вод. Разведаны также два месторождения минеральных вод: Морквинский участок и Черня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ский участок.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Подземные воды залегают на разных глубинах несколькими горизо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тами. Их</w:t>
      </w:r>
      <w:r>
        <w:rPr>
          <w:sz w:val="28"/>
          <w:szCs w:val="28"/>
          <w:highlight w:val="white"/>
        </w:rPr>
        <w:t xml:space="preserve"> запасы в округе достаточны для того, чтобы значительно усилить использ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вание этих вод в водооборотах не только для бытовых нужд, но и для удовлетворения п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требностей промышленных предприятий.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Бьющие из-под земли родники, или ключи, встречаются почти по вс</w:t>
      </w:r>
      <w:r>
        <w:rPr>
          <w:sz w:val="28"/>
          <w:szCs w:val="28"/>
          <w:highlight w:val="white"/>
        </w:rPr>
        <w:t xml:space="preserve">ем балкам и питают реки, ручьи, искусственные водоемы.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9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К сожалению,  реки нашего округа за последние десятилетия сильно обмелели. Загрязнение рек ведет к гибели рыбы и речной растительности, заиливанию р</w:t>
      </w:r>
      <w:r>
        <w:rPr>
          <w:sz w:val="28"/>
          <w:szCs w:val="28"/>
          <w:highlight w:val="white"/>
        </w:rPr>
        <w:t xml:space="preserve">у</w:t>
      </w:r>
      <w:r>
        <w:rPr>
          <w:sz w:val="28"/>
          <w:szCs w:val="28"/>
          <w:highlight w:val="white"/>
        </w:rPr>
        <w:t xml:space="preserve">сел и к другим бедствиям. 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Территория Чернянского муниципального округа</w:t>
      </w:r>
      <w:r>
        <w:rPr>
          <w:sz w:val="28"/>
          <w:szCs w:val="28"/>
          <w:highlight w:val="white"/>
        </w:rPr>
        <w:t xml:space="preserve"> относится к Оскольскому железорудн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му экономическому району Курской железорудной прови</w:t>
      </w:r>
      <w:r>
        <w:rPr>
          <w:sz w:val="28"/>
          <w:szCs w:val="28"/>
          <w:highlight w:val="white"/>
        </w:rPr>
        <w:t xml:space="preserve">нции. Имеются разв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данные месторождения Чернянское и Приоскольское.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Полезные ископаемые: мел (пригоден для производства мела дробленн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го, кормового или молотого), г</w:t>
      </w:r>
      <w:r>
        <w:rPr>
          <w:sz w:val="28"/>
          <w:szCs w:val="28"/>
          <w:highlight w:val="white"/>
        </w:rPr>
        <w:t xml:space="preserve">лина и суглинки (пригодны для производства кирпича), песок (пригоден для дорожного строительства, производства строительных мат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риалов, асфальтобетона).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Природа многообразна и красива. Флора типичная для среднерусской степи. По характеру растительности тер</w:t>
      </w:r>
      <w:r>
        <w:rPr>
          <w:sz w:val="28"/>
          <w:szCs w:val="28"/>
          <w:highlight w:val="white"/>
        </w:rPr>
        <w:t xml:space="preserve">ритория является лесостепной.</w:t>
      </w:r>
      <w:r>
        <w:rPr>
          <w:color w:val="ff0000"/>
          <w:sz w:val="28"/>
          <w:szCs w:val="28"/>
          <w:highlight w:val="white"/>
        </w:rPr>
        <w:t xml:space="preserve"> </w:t>
      </w:r>
      <w:r>
        <w:rPr>
          <w:color w:val="000000"/>
          <w:sz w:val="28"/>
          <w:szCs w:val="28"/>
          <w:highlight w:val="white"/>
        </w:rPr>
        <w:t xml:space="preserve">О</w:t>
      </w:r>
      <w:r>
        <w:rPr>
          <w:color w:val="000000"/>
          <w:sz w:val="28"/>
          <w:szCs w:val="28"/>
          <w:highlight w:val="white"/>
        </w:rPr>
        <w:t xml:space="preserve">б</w:t>
      </w:r>
      <w:r>
        <w:rPr>
          <w:color w:val="000000"/>
          <w:sz w:val="28"/>
          <w:szCs w:val="28"/>
          <w:highlight w:val="white"/>
        </w:rPr>
        <w:t xml:space="preserve">щая </w:t>
      </w:r>
      <w:r>
        <w:rPr>
          <w:sz w:val="28"/>
          <w:szCs w:val="28"/>
          <w:highlight w:val="white"/>
        </w:rPr>
        <w:t xml:space="preserve">площадь лесов составляет 9,9 %, сельхозугодий – 74,9 %, из них пашня –62,3 процента.</w:t>
      </w:r>
      <w:r>
        <w:rPr>
          <w:color w:val="ff0000"/>
          <w:sz w:val="28"/>
          <w:szCs w:val="28"/>
          <w:highlight w:val="white"/>
        </w:rPr>
        <w:t xml:space="preserve"> </w:t>
      </w:r>
      <w:r>
        <w:rPr>
          <w:color w:val="000000"/>
          <w:sz w:val="28"/>
          <w:szCs w:val="28"/>
          <w:highlight w:val="white"/>
        </w:rPr>
        <w:t xml:space="preserve">Фауна – это сочетание лесных и сте</w:t>
      </w:r>
      <w:r>
        <w:rPr>
          <w:color w:val="000000"/>
          <w:sz w:val="28"/>
          <w:szCs w:val="28"/>
          <w:highlight w:val="white"/>
        </w:rPr>
        <w:t xml:space="preserve">пных видов.</w:t>
      </w:r>
      <w:r>
        <w:rPr>
          <w:color w:val="000000"/>
          <w:sz w:val="28"/>
          <w:szCs w:val="28"/>
          <w:highlight w:val="white"/>
        </w:rPr>
        <w:t xml:space="preserve"> Оценка</w:t>
      </w:r>
      <w:r>
        <w:rPr>
          <w:sz w:val="28"/>
          <w:szCs w:val="28"/>
          <w:highlight w:val="white"/>
        </w:rPr>
        <w:t xml:space="preserve"> запасов охотничье-промысловых животных 2024 года</w:t>
      </w:r>
      <w:r>
        <w:rPr>
          <w:sz w:val="28"/>
          <w:szCs w:val="28"/>
          <w:highlight w:val="white"/>
        </w:rPr>
        <w:t xml:space="preserve">:</w:t>
      </w:r>
      <w:r>
        <w:rPr>
          <w:sz w:val="28"/>
          <w:szCs w:val="28"/>
          <w:highlight w:val="white"/>
        </w:rPr>
        <w:t xml:space="preserve"> косуля- 827, заяц-русак- 380, ка</w:t>
      </w:r>
      <w:r>
        <w:rPr>
          <w:sz w:val="28"/>
          <w:szCs w:val="28"/>
          <w:highlight w:val="white"/>
        </w:rPr>
        <w:t xml:space="preserve">бан-8, куница-95, лисица-87,  барсук-88, горн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стай-6.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Экологическа</w:t>
      </w:r>
      <w:r>
        <w:rPr>
          <w:sz w:val="28"/>
          <w:szCs w:val="28"/>
          <w:highlight w:val="white"/>
        </w:rPr>
        <w:t xml:space="preserve">я 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бс</w:t>
      </w:r>
      <w:r>
        <w:rPr>
          <w:sz w:val="28"/>
          <w:szCs w:val="28"/>
          <w:highlight w:val="white"/>
        </w:rPr>
        <w:t xml:space="preserve">тановка благополучная, радиационная обстановка в норме. 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соответствии с Законом Белгородской области  от 25.02.2025 года </w:t>
      </w:r>
      <w:r>
        <w:rPr>
          <w:sz w:val="28"/>
          <w:szCs w:val="28"/>
          <w:highlight w:val="white"/>
        </w:rPr>
        <w:t xml:space="preserve">№ 462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«О преобразовании всех поселений, входящих в состав муниципального района «Чернянский район» Белгородской области»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г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а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ц</w:t>
      </w:r>
      <w:r>
        <w:rPr>
          <w:sz w:val="28"/>
          <w:szCs w:val="28"/>
          <w:highlight w:val="white"/>
        </w:rPr>
        <w:t xml:space="preserve">ы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т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т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Ч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я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</w:rPr>
        <w:t xml:space="preserve">к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г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м</w:t>
      </w:r>
      <w:r>
        <w:rPr>
          <w:sz w:val="28"/>
          <w:szCs w:val="28"/>
          <w:highlight w:val="white"/>
        </w:rPr>
        <w:t xml:space="preserve">у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ц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п</w:t>
      </w:r>
      <w:r>
        <w:rPr>
          <w:sz w:val="28"/>
          <w:szCs w:val="28"/>
          <w:highlight w:val="white"/>
        </w:rPr>
        <w:t xml:space="preserve">а</w:t>
      </w:r>
      <w:r>
        <w:rPr>
          <w:sz w:val="28"/>
          <w:szCs w:val="28"/>
          <w:highlight w:val="white"/>
        </w:rPr>
        <w:t xml:space="preserve">л</w:t>
      </w:r>
      <w:r>
        <w:rPr>
          <w:sz w:val="28"/>
          <w:szCs w:val="28"/>
          <w:highlight w:val="white"/>
        </w:rPr>
        <w:t xml:space="preserve">ь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г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к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у</w:t>
      </w:r>
      <w:r>
        <w:rPr>
          <w:sz w:val="28"/>
          <w:szCs w:val="28"/>
          <w:highlight w:val="white"/>
        </w:rPr>
        <w:t xml:space="preserve">г</w:t>
      </w:r>
      <w:r>
        <w:rPr>
          <w:sz w:val="28"/>
          <w:szCs w:val="28"/>
          <w:highlight w:val="white"/>
        </w:rPr>
        <w:t xml:space="preserve">а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в</w:t>
      </w:r>
      <w:r>
        <w:rPr>
          <w:sz w:val="28"/>
          <w:szCs w:val="28"/>
          <w:highlight w:val="white"/>
        </w:rPr>
        <w:t xml:space="preserve">п</w:t>
      </w:r>
      <w:r>
        <w:rPr>
          <w:sz w:val="28"/>
          <w:szCs w:val="28"/>
          <w:highlight w:val="white"/>
        </w:rPr>
        <w:t xml:space="preserve">а</w:t>
      </w:r>
      <w:r>
        <w:rPr>
          <w:sz w:val="28"/>
          <w:szCs w:val="28"/>
          <w:highlight w:val="white"/>
        </w:rPr>
        <w:t xml:space="preserve">д</w:t>
      </w:r>
      <w:r>
        <w:rPr>
          <w:sz w:val="28"/>
          <w:szCs w:val="28"/>
          <w:highlight w:val="white"/>
        </w:rPr>
        <w:t xml:space="preserve">а</w:t>
      </w:r>
      <w:r>
        <w:rPr>
          <w:sz w:val="28"/>
          <w:szCs w:val="28"/>
          <w:highlight w:val="white"/>
        </w:rPr>
        <w:t xml:space="preserve">ю</w:t>
      </w:r>
      <w:r>
        <w:rPr>
          <w:sz w:val="28"/>
          <w:szCs w:val="28"/>
          <w:highlight w:val="white"/>
        </w:rPr>
        <w:t xml:space="preserve">т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г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а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ц</w:t>
      </w:r>
      <w:r>
        <w:rPr>
          <w:sz w:val="28"/>
          <w:szCs w:val="28"/>
          <w:highlight w:val="white"/>
        </w:rPr>
        <w:t xml:space="preserve">а</w:t>
      </w:r>
      <w:r>
        <w:rPr>
          <w:sz w:val="28"/>
          <w:szCs w:val="28"/>
          <w:highlight w:val="white"/>
        </w:rPr>
        <w:t xml:space="preserve">м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т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т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м</w:t>
      </w:r>
      <w:r>
        <w:rPr>
          <w:sz w:val="28"/>
          <w:szCs w:val="28"/>
          <w:highlight w:val="white"/>
        </w:rPr>
        <w:t xml:space="preserve">у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ц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п</w:t>
      </w:r>
      <w:r>
        <w:rPr>
          <w:sz w:val="28"/>
          <w:szCs w:val="28"/>
          <w:highlight w:val="white"/>
        </w:rPr>
        <w:t xml:space="preserve">а</w:t>
      </w:r>
      <w:r>
        <w:rPr>
          <w:sz w:val="28"/>
          <w:szCs w:val="28"/>
          <w:highlight w:val="white"/>
        </w:rPr>
        <w:t xml:space="preserve">л</w:t>
      </w:r>
      <w:r>
        <w:rPr>
          <w:sz w:val="28"/>
          <w:szCs w:val="28"/>
          <w:highlight w:val="white"/>
        </w:rPr>
        <w:t xml:space="preserve">ь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г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а</w:t>
      </w:r>
      <w:r>
        <w:rPr>
          <w:sz w:val="28"/>
          <w:szCs w:val="28"/>
          <w:highlight w:val="white"/>
        </w:rPr>
        <w:t xml:space="preserve">й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а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«</w:t>
      </w:r>
      <w:r>
        <w:rPr>
          <w:sz w:val="28"/>
          <w:szCs w:val="28"/>
          <w:highlight w:val="white"/>
        </w:rPr>
        <w:t xml:space="preserve">Ч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я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</w:rPr>
        <w:t xml:space="preserve">к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й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а</w:t>
      </w:r>
      <w:r>
        <w:rPr>
          <w:sz w:val="28"/>
          <w:szCs w:val="28"/>
          <w:highlight w:val="white"/>
        </w:rPr>
        <w:t xml:space="preserve">й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»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Б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л</w:t>
      </w:r>
      <w:r>
        <w:rPr>
          <w:sz w:val="28"/>
          <w:szCs w:val="28"/>
          <w:highlight w:val="white"/>
        </w:rPr>
        <w:t xml:space="preserve">г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д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</w:rPr>
        <w:t xml:space="preserve">к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й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б</w:t>
      </w:r>
      <w:r>
        <w:rPr>
          <w:sz w:val="28"/>
          <w:szCs w:val="28"/>
          <w:highlight w:val="white"/>
        </w:rPr>
        <w:t xml:space="preserve">л</w:t>
      </w:r>
      <w:r>
        <w:rPr>
          <w:sz w:val="28"/>
          <w:szCs w:val="28"/>
          <w:highlight w:val="white"/>
        </w:rPr>
        <w:t xml:space="preserve">а</w:t>
      </w:r>
      <w:r>
        <w:rPr>
          <w:sz w:val="28"/>
          <w:szCs w:val="28"/>
          <w:highlight w:val="white"/>
        </w:rPr>
        <w:t xml:space="preserve">с</w:t>
      </w:r>
      <w:r>
        <w:rPr>
          <w:sz w:val="28"/>
          <w:szCs w:val="28"/>
          <w:highlight w:val="white"/>
        </w:rPr>
        <w:t xml:space="preserve">т</w:t>
      </w:r>
      <w:r>
        <w:rPr>
          <w:sz w:val="28"/>
          <w:szCs w:val="28"/>
          <w:highlight w:val="white"/>
        </w:rPr>
        <w:t xml:space="preserve">и, </w:t>
      </w:r>
      <w:r>
        <w:rPr>
          <w:sz w:val="28"/>
          <w:szCs w:val="28"/>
          <w:highlight w:val="white"/>
        </w:rPr>
        <w:t xml:space="preserve">на территории округа находится 58 населенных пун</w:t>
      </w:r>
      <w:r>
        <w:rPr>
          <w:sz w:val="28"/>
          <w:szCs w:val="28"/>
          <w:highlight w:val="white"/>
        </w:rPr>
        <w:t xml:space="preserve">к</w:t>
      </w:r>
      <w:r>
        <w:rPr>
          <w:sz w:val="28"/>
          <w:szCs w:val="28"/>
          <w:highlight w:val="white"/>
        </w:rPr>
        <w:t xml:space="preserve">тов.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color w:val="ff0000"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Численно</w:t>
      </w:r>
      <w:r>
        <w:rPr>
          <w:sz w:val="28"/>
          <w:szCs w:val="28"/>
          <w:highlight w:val="white"/>
        </w:rPr>
        <w:t xml:space="preserve">сть н</w:t>
      </w:r>
      <w:r>
        <w:rPr>
          <w:sz w:val="28"/>
          <w:szCs w:val="28"/>
          <w:highlight w:val="white"/>
        </w:rPr>
        <w:t xml:space="preserve">аселения по состоянию на 01.01.25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г. составляет  28,6 т</w:t>
      </w:r>
      <w:r>
        <w:rPr>
          <w:sz w:val="28"/>
          <w:szCs w:val="28"/>
          <w:highlight w:val="white"/>
        </w:rPr>
        <w:t xml:space="preserve">ы</w:t>
      </w:r>
      <w:r>
        <w:rPr>
          <w:sz w:val="28"/>
          <w:szCs w:val="28"/>
          <w:highlight w:val="white"/>
        </w:rPr>
        <w:t xml:space="preserve">сяч человек (1,9 % населения Белгородской области), из которых   51,4 % - горо</w:t>
      </w:r>
      <w:r>
        <w:rPr>
          <w:sz w:val="28"/>
          <w:szCs w:val="28"/>
          <w:highlight w:val="white"/>
        </w:rPr>
        <w:t xml:space="preserve">д</w:t>
      </w:r>
      <w:r>
        <w:rPr>
          <w:sz w:val="28"/>
          <w:szCs w:val="28"/>
          <w:highlight w:val="white"/>
        </w:rPr>
        <w:t xml:space="preserve">ское, 48,6 % - сельское население. Плотность населения Чернянского муниципального </w:t>
      </w:r>
      <w:r>
        <w:rPr>
          <w:sz w:val="28"/>
          <w:szCs w:val="28"/>
          <w:highlight w:val="white"/>
        </w:rPr>
        <w:t xml:space="preserve">округа </w:t>
      </w:r>
      <w:r>
        <w:rPr>
          <w:sz w:val="28"/>
          <w:szCs w:val="28"/>
          <w:highlight w:val="white"/>
        </w:rPr>
        <w:t xml:space="preserve">составляет</w:t>
      </w:r>
      <w:r>
        <w:rPr>
          <w:sz w:val="28"/>
          <w:szCs w:val="28"/>
          <w:highlight w:val="white"/>
        </w:rPr>
        <w:t xml:space="preserve"> 23,3  чел</w:t>
      </w:r>
      <w:r>
        <w:rPr>
          <w:sz w:val="28"/>
          <w:szCs w:val="28"/>
          <w:highlight w:val="white"/>
        </w:rPr>
        <w:t xml:space="preserve">овек на 1 кв. км (в области  54,6 человек на 1 кв. км).</w:t>
      </w:r>
      <w:r>
        <w:rPr>
          <w:color w:val="ff0000"/>
          <w:sz w:val="28"/>
          <w:szCs w:val="28"/>
          <w:highlight w:val="white"/>
        </w:rPr>
      </w:r>
      <w:r>
        <w:rPr>
          <w:color w:val="ff0000"/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Муниципальное образование является транспортным узлом. Через центр округа с севера на юг проходит основная территориальная автодорога «Новый Оскол – Старый Оскол». В этом же направлении проходит желез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дорожная магистраль федерального значения «Москва – Кашира – Елец – Старый Оскол – Донбасс – Таганрог – Ростов-на-Дону».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color w:val="000000"/>
          <w:sz w:val="28"/>
          <w:szCs w:val="28"/>
          <w:highlight w:val="white"/>
        </w:rPr>
      </w:pPr>
      <w:r>
        <w:rPr>
          <w:color w:val="ff0000"/>
          <w:sz w:val="28"/>
          <w:szCs w:val="28"/>
          <w:highlight w:val="white"/>
        </w:rPr>
        <w:t xml:space="preserve"> </w:t>
      </w:r>
      <w:r>
        <w:rPr>
          <w:color w:val="000000"/>
          <w:sz w:val="28"/>
          <w:szCs w:val="28"/>
          <w:highlight w:val="white"/>
        </w:rPr>
        <w:t xml:space="preserve">Общая протяженность автомобильных  дорог в ок</w:t>
      </w:r>
      <w:r>
        <w:rPr>
          <w:color w:val="000000"/>
          <w:sz w:val="28"/>
          <w:szCs w:val="28"/>
          <w:highlight w:val="white"/>
        </w:rPr>
        <w:t xml:space="preserve">руге</w:t>
      </w:r>
      <w:r>
        <w:rPr>
          <w:color w:val="000000"/>
          <w:sz w:val="28"/>
          <w:szCs w:val="28"/>
          <w:highlight w:val="white"/>
        </w:rPr>
        <w:t xml:space="preserve"> </w:t>
      </w:r>
      <w:r>
        <w:rPr>
          <w:color w:val="000000"/>
          <w:sz w:val="28"/>
          <w:szCs w:val="28"/>
          <w:highlight w:val="white"/>
        </w:rPr>
        <w:t xml:space="preserve">-</w:t>
      </w:r>
      <w:r>
        <w:rPr>
          <w:color w:val="000000"/>
          <w:sz w:val="28"/>
          <w:szCs w:val="28"/>
          <w:highlight w:val="white"/>
        </w:rPr>
        <w:t xml:space="preserve"> 776 км дорог с твердым покрытием, в  том числе</w:t>
      </w:r>
      <w:r>
        <w:rPr>
          <w:color w:val="ff0000"/>
          <w:sz w:val="28"/>
          <w:szCs w:val="28"/>
          <w:highlight w:val="white"/>
        </w:rPr>
        <w:t xml:space="preserve">   </w:t>
      </w:r>
      <w:r>
        <w:rPr>
          <w:color w:val="ff0000"/>
          <w:sz w:val="28"/>
          <w:szCs w:val="28"/>
          <w:highlight w:val="white"/>
        </w:rPr>
        <w:t xml:space="preserve"> </w:t>
      </w:r>
      <w:r>
        <w:rPr>
          <w:color w:val="000000"/>
          <w:sz w:val="28"/>
          <w:szCs w:val="28"/>
          <w:highlight w:val="white"/>
        </w:rPr>
        <w:t xml:space="preserve">327,3</w:t>
      </w:r>
      <w:r>
        <w:rPr>
          <w:color w:val="000000"/>
          <w:sz w:val="28"/>
          <w:szCs w:val="28"/>
          <w:highlight w:val="white"/>
        </w:rPr>
        <w:t xml:space="preserve"> км </w:t>
      </w:r>
      <w:r>
        <w:rPr>
          <w:color w:val="000000"/>
          <w:sz w:val="28"/>
          <w:szCs w:val="28"/>
          <w:highlight w:val="white"/>
        </w:rPr>
        <w:t xml:space="preserve">автомобильных дорог общего пользования </w:t>
      </w:r>
      <w:r>
        <w:rPr>
          <w:color w:val="000000"/>
          <w:sz w:val="28"/>
          <w:szCs w:val="28"/>
          <w:highlight w:val="white"/>
        </w:rPr>
        <w:t xml:space="preserve">с твердым покрытием, </w:t>
      </w:r>
      <w:r>
        <w:rPr>
          <w:color w:val="000000"/>
          <w:sz w:val="28"/>
          <w:szCs w:val="28"/>
          <w:highlight w:val="white"/>
        </w:rPr>
        <w:t xml:space="preserve">что составляет 44,7 % от общей протяже</w:t>
      </w:r>
      <w:r>
        <w:rPr>
          <w:color w:val="000000"/>
          <w:sz w:val="28"/>
          <w:szCs w:val="28"/>
          <w:highlight w:val="white"/>
        </w:rPr>
        <w:t xml:space="preserve">н</w:t>
      </w:r>
      <w:r>
        <w:rPr>
          <w:color w:val="000000"/>
          <w:sz w:val="28"/>
          <w:szCs w:val="28"/>
          <w:highlight w:val="white"/>
        </w:rPr>
        <w:t xml:space="preserve">ности дорог.</w:t>
      </w:r>
      <w:r>
        <w:rPr>
          <w:color w:val="000000"/>
          <w:sz w:val="28"/>
          <w:szCs w:val="28"/>
          <w:highlight w:val="white"/>
        </w:rPr>
      </w:r>
      <w:r>
        <w:rPr>
          <w:color w:val="000000"/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Чернянский муниципальный округ</w:t>
      </w:r>
      <w:r>
        <w:rPr>
          <w:sz w:val="28"/>
          <w:szCs w:val="28"/>
          <w:highlight w:val="white"/>
        </w:rPr>
        <w:t xml:space="preserve"> полностью газифицир</w:t>
      </w:r>
      <w:r>
        <w:rPr>
          <w:sz w:val="28"/>
          <w:szCs w:val="28"/>
          <w:highlight w:val="white"/>
        </w:rPr>
        <w:t xml:space="preserve">ован. Газовые сети насчитывают  </w:t>
      </w:r>
      <w:r>
        <w:rPr>
          <w:sz w:val="28"/>
          <w:szCs w:val="28"/>
          <w:highlight w:val="white"/>
        </w:rPr>
        <w:t xml:space="preserve">758 км.</w:t>
      </w:r>
      <w:r>
        <w:rPr>
          <w:sz w:val="28"/>
          <w:szCs w:val="28"/>
          <w:highlight w:val="white"/>
        </w:rPr>
        <w:tab/>
        <w:t xml:space="preserve">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299"/>
        <w:ind w:right="-144"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настоящее время округ представляет собой регион с развитой эконом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кой, социальной сферой и богатыми культурными традициями.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299"/>
        <w:ind w:right="-144"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На территории округа осуществляют деятельность 8 промышленных,</w:t>
      </w:r>
      <w:r>
        <w:rPr>
          <w:color w:val="ff0000"/>
          <w:sz w:val="28"/>
          <w:szCs w:val="28"/>
          <w:highlight w:val="white"/>
        </w:rPr>
        <w:t xml:space="preserve">                 </w:t>
      </w:r>
      <w:r>
        <w:rPr>
          <w:color w:val="000000" w:themeColor="text1"/>
          <w:sz w:val="28"/>
          <w:szCs w:val="28"/>
          <w:highlight w:val="white"/>
        </w:rPr>
        <w:t xml:space="preserve">7</w:t>
      </w:r>
      <w:r>
        <w:rPr>
          <w:color w:val="000000" w:themeColor="text1"/>
          <w:sz w:val="28"/>
          <w:szCs w:val="28"/>
          <w:highlight w:val="white"/>
        </w:rPr>
        <w:t xml:space="preserve"> </w:t>
      </w:r>
      <w:r>
        <w:rPr>
          <w:color w:val="000000"/>
          <w:sz w:val="28"/>
          <w:szCs w:val="28"/>
          <w:highlight w:val="white"/>
        </w:rPr>
        <w:t xml:space="preserve">- сельс</w:t>
      </w:r>
      <w:r>
        <w:rPr>
          <w:color w:val="000000"/>
          <w:sz w:val="28"/>
          <w:szCs w:val="28"/>
          <w:highlight w:val="white"/>
        </w:rPr>
        <w:t xml:space="preserve">кохозяйственных предприятий, 1</w:t>
      </w:r>
      <w:r>
        <w:rPr>
          <w:sz w:val="28"/>
          <w:szCs w:val="28"/>
          <w:highlight w:val="white"/>
        </w:rPr>
        <w:t xml:space="preserve"> транспортная и 2 строительных организации, а также предприятия малого бизнеса и  индивидуальные   предприн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матели.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299"/>
        <w:ind w:firstLine="7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Ведущее место в экономике округа занимают обрабатывающие прои</w:t>
      </w:r>
      <w:r>
        <w:rPr>
          <w:sz w:val="28"/>
          <w:szCs w:val="28"/>
          <w:highlight w:val="white"/>
        </w:rPr>
        <w:t xml:space="preserve">з</w:t>
      </w:r>
      <w:r>
        <w:rPr>
          <w:sz w:val="28"/>
          <w:szCs w:val="28"/>
          <w:highlight w:val="white"/>
        </w:rPr>
        <w:t xml:space="preserve">водства</w:t>
      </w:r>
      <w:r>
        <w:rPr>
          <w:color w:val="000000"/>
          <w:sz w:val="28"/>
          <w:szCs w:val="28"/>
          <w:highlight w:val="white"/>
        </w:rPr>
        <w:t xml:space="preserve">. Их доля в общем обороте составляет</w:t>
      </w:r>
      <w:r>
        <w:rPr>
          <w:color w:val="000000"/>
          <w:sz w:val="28"/>
          <w:szCs w:val="28"/>
          <w:highlight w:val="white"/>
        </w:rPr>
        <w:t xml:space="preserve"> </w:t>
      </w:r>
      <w:r>
        <w:rPr>
          <w:color w:val="000000"/>
          <w:sz w:val="28"/>
          <w:szCs w:val="28"/>
          <w:highlight w:val="white"/>
        </w:rPr>
        <w:t xml:space="preserve">46,</w:t>
      </w:r>
      <w:r>
        <w:rPr>
          <w:color w:val="000000"/>
          <w:sz w:val="28"/>
          <w:szCs w:val="28"/>
          <w:highlight w:val="white"/>
        </w:rPr>
        <w:t xml:space="preserve">6 п</w:t>
      </w:r>
      <w:r>
        <w:rPr>
          <w:color w:val="000000"/>
          <w:sz w:val="28"/>
          <w:szCs w:val="28"/>
          <w:highlight w:val="white"/>
        </w:rPr>
        <w:t xml:space="preserve">р</w:t>
      </w:r>
      <w:r>
        <w:rPr>
          <w:color w:val="000000"/>
          <w:sz w:val="28"/>
          <w:szCs w:val="28"/>
          <w:highlight w:val="white"/>
        </w:rPr>
        <w:t xml:space="preserve">оцентов. Учитывая</w:t>
      </w:r>
      <w:r>
        <w:rPr>
          <w:sz w:val="28"/>
          <w:szCs w:val="28"/>
          <w:highlight w:val="white"/>
        </w:rPr>
        <w:t xml:space="preserve"> то, что в округе имеется хорошая сырьевая база для пищевой перерабатывающей пр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мышленности, в поселке Чернянка функционируют следующие предприятия: ООО «Чернянский сахарный завод», ООО «РусАгро Белгород» филиал «Черня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ский»</w:t>
      </w:r>
      <w:r>
        <w:rPr>
          <w:sz w:val="28"/>
          <w:szCs w:val="28"/>
          <w:highlight w:val="white"/>
        </w:rPr>
        <w:t xml:space="preserve">, ООО «П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щевой комбинат Чернянский»</w:t>
      </w:r>
      <w:r>
        <w:rPr>
          <w:sz w:val="28"/>
          <w:szCs w:val="28"/>
          <w:highlight w:val="white"/>
        </w:rPr>
        <w:t xml:space="preserve">. Кроме того, в районе раб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тает предприятие по производству строительных материалов – ООО «ПП Че</w:t>
      </w:r>
      <w:r>
        <w:rPr>
          <w:sz w:val="28"/>
          <w:szCs w:val="28"/>
          <w:highlight w:val="white"/>
        </w:rPr>
        <w:t xml:space="preserve">р</w:t>
      </w:r>
      <w:r>
        <w:rPr>
          <w:sz w:val="28"/>
          <w:szCs w:val="28"/>
          <w:highlight w:val="white"/>
        </w:rPr>
        <w:t xml:space="preserve">нянский кирпичный завод».  Эти предприятия выпускают пр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дукцию, ко</w:t>
      </w:r>
      <w:r>
        <w:rPr>
          <w:sz w:val="28"/>
          <w:szCs w:val="28"/>
          <w:highlight w:val="white"/>
        </w:rPr>
        <w:t xml:space="preserve">тора</w:t>
      </w:r>
      <w:r>
        <w:rPr>
          <w:sz w:val="28"/>
          <w:szCs w:val="28"/>
          <w:highlight w:val="white"/>
        </w:rPr>
        <w:t xml:space="preserve">я реализуется не только в области, но и в других регионах России.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299"/>
        <w:ind w:firstLine="708"/>
        <w:jc w:val="both"/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Немаловажную роль в развитии экономики округа играет сельское хозя</w:t>
      </w:r>
      <w:r>
        <w:rPr>
          <w:color w:val="000000"/>
          <w:sz w:val="28"/>
          <w:szCs w:val="28"/>
          <w:highlight w:val="white"/>
        </w:rPr>
        <w:t xml:space="preserve">й</w:t>
      </w:r>
      <w:r>
        <w:rPr>
          <w:color w:val="000000"/>
          <w:sz w:val="28"/>
          <w:szCs w:val="28"/>
          <w:highlight w:val="white"/>
        </w:rPr>
        <w:t xml:space="preserve">ство.</w:t>
      </w:r>
      <w:r>
        <w:rPr>
          <w:color w:val="ff0000"/>
          <w:sz w:val="28"/>
          <w:szCs w:val="28"/>
          <w:highlight w:val="white"/>
        </w:rPr>
        <w:t xml:space="preserve"> </w:t>
      </w:r>
      <w:r>
        <w:rPr>
          <w:color w:val="000000"/>
          <w:sz w:val="28"/>
          <w:szCs w:val="28"/>
          <w:highlight w:val="white"/>
        </w:rPr>
        <w:t xml:space="preserve">Его доля составляет </w:t>
      </w:r>
      <w:r>
        <w:rPr>
          <w:color w:val="000000"/>
          <w:sz w:val="28"/>
          <w:szCs w:val="28"/>
          <w:highlight w:val="white"/>
        </w:rPr>
        <w:t xml:space="preserve"> </w:t>
      </w:r>
      <w:r>
        <w:rPr>
          <w:color w:val="000000"/>
          <w:sz w:val="28"/>
          <w:szCs w:val="28"/>
          <w:highlight w:val="white"/>
        </w:rPr>
        <w:t xml:space="preserve">36,9 %</w:t>
      </w:r>
      <w:r>
        <w:rPr>
          <w:color w:val="000000"/>
          <w:sz w:val="28"/>
          <w:szCs w:val="28"/>
          <w:highlight w:val="white"/>
        </w:rPr>
        <w:t xml:space="preserve"> </w:t>
      </w:r>
      <w:r>
        <w:rPr>
          <w:color w:val="000000"/>
          <w:sz w:val="28"/>
          <w:szCs w:val="28"/>
          <w:highlight w:val="white"/>
        </w:rPr>
        <w:t xml:space="preserve">в о</w:t>
      </w:r>
      <w:r>
        <w:rPr>
          <w:color w:val="000000"/>
          <w:sz w:val="28"/>
          <w:szCs w:val="28"/>
          <w:highlight w:val="white"/>
        </w:rPr>
        <w:t xml:space="preserve">бороте организаций по видам экономич</w:t>
      </w:r>
      <w:r>
        <w:rPr>
          <w:color w:val="000000"/>
          <w:sz w:val="28"/>
          <w:szCs w:val="28"/>
          <w:highlight w:val="white"/>
        </w:rPr>
        <w:t xml:space="preserve">е</w:t>
      </w:r>
      <w:r>
        <w:rPr>
          <w:color w:val="000000"/>
          <w:sz w:val="28"/>
          <w:szCs w:val="28"/>
          <w:highlight w:val="white"/>
        </w:rPr>
        <w:t xml:space="preserve">ской деятельности.</w:t>
      </w:r>
      <w:r>
        <w:rPr>
          <w:color w:val="000000"/>
          <w:sz w:val="28"/>
          <w:szCs w:val="28"/>
          <w:highlight w:val="white"/>
        </w:rPr>
      </w:r>
      <w:r>
        <w:rPr>
          <w:color w:val="000000"/>
          <w:sz w:val="28"/>
          <w:szCs w:val="28"/>
          <w:highlight w:val="white"/>
        </w:rPr>
      </w:r>
    </w:p>
    <w:p>
      <w:pPr>
        <w:pStyle w:val="1299"/>
        <w:jc w:val="both"/>
        <w:rPr>
          <w:sz w:val="28"/>
          <w:szCs w:val="28"/>
          <w:highlight w:val="white"/>
        </w:rPr>
      </w:pPr>
      <w:r>
        <w:rPr>
          <w:color w:val="ff0000"/>
          <w:sz w:val="28"/>
          <w:szCs w:val="28"/>
          <w:highlight w:val="white"/>
        </w:rPr>
        <w:tab/>
      </w:r>
      <w:r>
        <w:rPr>
          <w:sz w:val="28"/>
          <w:szCs w:val="28"/>
          <w:highlight w:val="white"/>
        </w:rPr>
        <w:t xml:space="preserve">Наиболее крупные предприятия </w:t>
      </w:r>
      <w:r>
        <w:rPr>
          <w:sz w:val="28"/>
          <w:szCs w:val="28"/>
          <w:highlight w:val="white"/>
        </w:rPr>
        <w:t xml:space="preserve">агропромышленного комплекса</w:t>
      </w:r>
      <w:r>
        <w:rPr>
          <w:b/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</w:t>
      </w:r>
      <w:r>
        <w:rPr>
          <w:sz w:val="28"/>
          <w:szCs w:val="28"/>
          <w:highlight w:val="white"/>
        </w:rPr>
        <w:t xml:space="preserve">й</w:t>
      </w:r>
      <w:r>
        <w:rPr>
          <w:sz w:val="28"/>
          <w:szCs w:val="28"/>
          <w:highlight w:val="white"/>
        </w:rPr>
        <w:t xml:space="preserve">она: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299"/>
        <w:numPr>
          <w:ilvl w:val="0"/>
          <w:numId w:val="13"/>
        </w:numPr>
        <w:jc w:val="both"/>
        <w:spacing w:after="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ООО «Руссагро-Инвест» ПУ «Малотроицкий»;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299"/>
        <w:numPr>
          <w:ilvl w:val="0"/>
          <w:numId w:val="13"/>
        </w:numPr>
        <w:jc w:val="both"/>
        <w:spacing w:after="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ЗАО «Краснояружская зерновая компания»;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299"/>
        <w:numPr>
          <w:ilvl w:val="0"/>
          <w:numId w:val="13"/>
        </w:numPr>
        <w:jc w:val="both"/>
        <w:spacing w:after="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ООО «Рассвет-Агро»;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299"/>
        <w:numPr>
          <w:ilvl w:val="0"/>
          <w:numId w:val="13"/>
        </w:numPr>
        <w:jc w:val="both"/>
        <w:spacing w:after="0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З</w:t>
      </w:r>
      <w:r>
        <w:rPr>
          <w:sz w:val="28"/>
          <w:szCs w:val="28"/>
          <w:highlight w:val="white"/>
        </w:rPr>
        <w:t xml:space="preserve">АО «Молоко Белогорья».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20"/>
        <w:jc w:val="both"/>
        <w:rPr>
          <w:sz w:val="28"/>
          <w:szCs w:val="28"/>
          <w:highlight w:val="white"/>
        </w:rPr>
      </w:pPr>
      <w:r>
        <w:rPr>
          <w:color w:val="ff0000"/>
          <w:sz w:val="28"/>
          <w:szCs w:val="28"/>
          <w:highlight w:val="white"/>
        </w:rPr>
        <w:t xml:space="preserve"> </w:t>
        <w:tab/>
      </w:r>
      <w:r>
        <w:rPr>
          <w:color w:val="000000"/>
          <w:sz w:val="28"/>
          <w:szCs w:val="28"/>
          <w:highlight w:val="white"/>
        </w:rPr>
        <w:t xml:space="preserve">В округе работа</w:t>
      </w:r>
      <w:r>
        <w:rPr>
          <w:color w:val="000000"/>
          <w:sz w:val="28"/>
          <w:szCs w:val="28"/>
          <w:highlight w:val="white"/>
        </w:rPr>
        <w:t xml:space="preserve">ю</w:t>
      </w:r>
      <w:r>
        <w:rPr>
          <w:color w:val="000000"/>
          <w:sz w:val="28"/>
          <w:szCs w:val="28"/>
          <w:highlight w:val="white"/>
        </w:rPr>
        <w:t xml:space="preserve">т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94 </w:t>
      </w:r>
      <w:r>
        <w:rPr>
          <w:sz w:val="28"/>
          <w:szCs w:val="28"/>
          <w:highlight w:val="white"/>
        </w:rPr>
        <w:t xml:space="preserve">предприятия малых форм хозяйствования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з которых наиболее кру</w:t>
      </w:r>
      <w:r>
        <w:rPr>
          <w:sz w:val="28"/>
          <w:szCs w:val="28"/>
          <w:highlight w:val="white"/>
        </w:rPr>
        <w:t xml:space="preserve">п</w:t>
      </w:r>
      <w:r>
        <w:rPr>
          <w:sz w:val="28"/>
          <w:szCs w:val="28"/>
          <w:highlight w:val="white"/>
        </w:rPr>
        <w:t xml:space="preserve">ные – КФ</w:t>
      </w:r>
      <w:r>
        <w:rPr>
          <w:sz w:val="28"/>
          <w:szCs w:val="28"/>
          <w:highlight w:val="white"/>
        </w:rPr>
        <w:t xml:space="preserve">Х «Су</w:t>
      </w:r>
      <w:r>
        <w:rPr>
          <w:sz w:val="28"/>
          <w:szCs w:val="28"/>
          <w:highlight w:val="white"/>
        </w:rPr>
        <w:t xml:space="preserve">кмановка», КФХ «Шанс».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Возделываются такие сельскохозяйственные культуры, как сахарная свекла, подсолнечник, зерновые культуры, кормовые культуры, необходимые для выращ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вания крупного рогатого скота.    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 xml:space="preserve">На территории муниципального округа находится 271</w:t>
      </w:r>
      <w:r>
        <w:rPr>
          <w:color w:val="000000"/>
          <w:sz w:val="28"/>
          <w:szCs w:val="28"/>
          <w:highlight w:val="white"/>
        </w:rPr>
        <w:t xml:space="preserve"> объектов розничн</w:t>
      </w:r>
      <w:r>
        <w:rPr>
          <w:color w:val="000000"/>
          <w:sz w:val="28"/>
          <w:szCs w:val="28"/>
          <w:highlight w:val="white"/>
        </w:rPr>
        <w:t xml:space="preserve">ой торговли</w:t>
      </w:r>
      <w:r>
        <w:rPr>
          <w:color w:val="000000"/>
          <w:sz w:val="28"/>
          <w:szCs w:val="28"/>
          <w:highlight w:val="white"/>
        </w:rPr>
        <w:t xml:space="preserve">, 72 </w:t>
      </w:r>
      <w:r>
        <w:rPr>
          <w:color w:val="000000"/>
          <w:sz w:val="28"/>
          <w:szCs w:val="28"/>
          <w:highlight w:val="white"/>
        </w:rPr>
        <w:t xml:space="preserve">объекта общественного питания (кафе, столовые),</w:t>
      </w:r>
      <w:r>
        <w:rPr>
          <w:color w:val="ff0000"/>
          <w:sz w:val="28"/>
          <w:szCs w:val="28"/>
          <w:highlight w:val="white"/>
        </w:rPr>
        <w:t xml:space="preserve"> </w:t>
      </w:r>
      <w:r>
        <w:rPr>
          <w:color w:val="000000"/>
          <w:sz w:val="28"/>
          <w:szCs w:val="28"/>
          <w:highlight w:val="white"/>
        </w:rPr>
        <w:t xml:space="preserve">76 </w:t>
      </w:r>
      <w:r>
        <w:rPr>
          <w:color w:val="000000"/>
          <w:sz w:val="28"/>
          <w:szCs w:val="28"/>
          <w:highlight w:val="white"/>
        </w:rPr>
        <w:t xml:space="preserve">предприятий по оказанию бытовых услуг населению. Функционирую</w:t>
      </w:r>
      <w:r>
        <w:rPr>
          <w:sz w:val="28"/>
          <w:szCs w:val="28"/>
          <w:highlight w:val="white"/>
        </w:rPr>
        <w:t xml:space="preserve">т также учреждения здравоохранения, образования и культуры, социальной защиты населения, кр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дитно-финансовые и страхо</w:t>
      </w:r>
      <w:r>
        <w:rPr>
          <w:sz w:val="28"/>
          <w:szCs w:val="28"/>
          <w:highlight w:val="white"/>
        </w:rPr>
        <w:t xml:space="preserve">вые организации.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округе активно проводятся мероприятия по информатизации округа, ведется строительство объектов производственного, социального значения, стро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тельство индивидуального жилья.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left="0" w:right="0" w:firstLine="708"/>
        <w:jc w:val="both"/>
        <w:rPr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8"/>
          <w:szCs w:val="28"/>
          <w:highlight w:val="white"/>
        </w:rPr>
        <w:t xml:space="preserve">На территории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муниципального </w:t>
      </w:r>
      <w:r>
        <w:rPr>
          <w:sz w:val="28"/>
          <w:szCs w:val="28"/>
          <w:highlight w:val="white"/>
        </w:rPr>
        <w:t xml:space="preserve">образования работает 21 </w:t>
      </w:r>
      <w:r>
        <w:rPr>
          <w:sz w:val="28"/>
          <w:szCs w:val="28"/>
          <w:highlight w:val="white"/>
        </w:rPr>
        <w:t xml:space="preserve">общеобразовательная школа, агро механический техникум, 15 дошкольных </w:t>
      </w:r>
      <w:r>
        <w:rPr>
          <w:sz w:val="28"/>
          <w:szCs w:val="28"/>
          <w:highlight w:val="white"/>
        </w:rPr>
        <w:t xml:space="preserve">учреждений, 3 учреждения дополнительного образования детей. </w:t>
      </w:r>
      <w:r>
        <w:rPr>
          <w:sz w:val="28"/>
          <w:szCs w:val="28"/>
          <w:highlight w:val="white"/>
        </w:rPr>
        <w:t xml:space="preserve">В школах занимаются 3096 учащихся, в дошкольных учреждениях </w:t>
      </w:r>
      <w:r>
        <w:rPr>
          <w:sz w:val="28"/>
          <w:szCs w:val="28"/>
          <w:highlight w:val="white"/>
        </w:rPr>
        <w:t xml:space="preserve">воспитываются 1073 ребёнка.</w:t>
      </w:r>
      <w:r>
        <w:rPr>
          <w:sz w:val="28"/>
          <w:szCs w:val="28"/>
          <w:highlight w:val="white"/>
          <w14:ligatures w14:val="none"/>
        </w:rPr>
      </w:r>
      <w:r>
        <w:rPr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rPr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8"/>
          <w:szCs w:val="28"/>
          <w:highlight w:val="white"/>
        </w:rPr>
        <w:t xml:space="preserve">Культурно-досуговую деятельность в районе осуществляют три юридических </w:t>
      </w:r>
      <w:r>
        <w:rPr>
          <w:sz w:val="28"/>
          <w:szCs w:val="28"/>
          <w:highlight w:val="white"/>
        </w:rPr>
        <w:t xml:space="preserve">лица: МБУК «Центр культурного развития п.Чернянка», МБУК «Ездоченский Дом </w:t>
      </w:r>
      <w:r>
        <w:rPr>
          <w:sz w:val="28"/>
          <w:szCs w:val="28"/>
          <w:highlight w:val="white"/>
        </w:rPr>
        <w:t xml:space="preserve">ремесел», МБУК «Чернянский районный центр народного творчества и культурно-</w:t>
      </w:r>
      <w:r>
        <w:rPr>
          <w:sz w:val="28"/>
          <w:szCs w:val="28"/>
          <w:highlight w:val="white"/>
        </w:rPr>
        <w:t xml:space="preserve">досуговой деятельности» (в состав которых входит 34 учреждения клубного типа, 5 </w:t>
      </w:r>
      <w:r>
        <w:rPr>
          <w:sz w:val="28"/>
          <w:szCs w:val="28"/>
          <w:highlight w:val="white"/>
        </w:rPr>
        <w:t xml:space="preserve">учреждений носят статус «модельный»), также в районе работают три школы </w:t>
      </w:r>
      <w:r>
        <w:rPr>
          <w:sz w:val="28"/>
          <w:szCs w:val="28"/>
          <w:highlight w:val="white"/>
        </w:rPr>
        <w:t xml:space="preserve">искусств и 5 выездных классов, Чернянская библиотечная система – это МБУК </w:t>
      </w:r>
      <w:r>
        <w:rPr>
          <w:sz w:val="28"/>
          <w:szCs w:val="28"/>
          <w:highlight w:val="white"/>
        </w:rPr>
        <w:t xml:space="preserve">«Чернянская районная детская библиотека», МБУК «Чернянская центральная </w:t>
      </w:r>
      <w:r>
        <w:rPr>
          <w:sz w:val="28"/>
          <w:szCs w:val="28"/>
          <w:highlight w:val="white"/>
        </w:rPr>
        <w:t xml:space="preserve">районная библиотека» и 22 поселенческие библиотеки.</w:t>
      </w:r>
      <w:r>
        <w:rPr>
          <w:sz w:val="28"/>
          <w:szCs w:val="28"/>
          <w:highlight w:val="white"/>
          <w14:ligatures w14:val="none"/>
        </w:rPr>
      </w:r>
      <w:r>
        <w:rPr>
          <w:sz w:val="28"/>
          <w:szCs w:val="28"/>
          <w:highlight w:val="white"/>
          <w14:ligatures w14:val="none"/>
        </w:rPr>
      </w:r>
    </w:p>
    <w:p>
      <w:pPr>
        <w:ind w:left="0" w:right="0" w:firstLine="708"/>
        <w:jc w:val="both"/>
        <w:shd w:val="clear" w:color="ffffff" w:fill="ffffff"/>
        <w:rPr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8"/>
          <w:szCs w:val="28"/>
          <w:highlight w:val="white"/>
        </w:rPr>
        <w:t xml:space="preserve">Спортивно-массовая работа осуществляется в физкультурно-оздоровительном комплексе, бассейнах, детско-юношеском клубе физич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ской по</w:t>
      </w:r>
      <w:r>
        <w:rPr>
          <w:sz w:val="28"/>
          <w:szCs w:val="28"/>
          <w:highlight w:val="white"/>
        </w:rPr>
        <w:t xml:space="preserve">д</w:t>
      </w:r>
      <w:r>
        <w:rPr>
          <w:sz w:val="28"/>
          <w:szCs w:val="28"/>
          <w:highlight w:val="white"/>
        </w:rPr>
        <w:t xml:space="preserve">готовки,  всего </w:t>
      </w:r>
      <w:r>
        <w:rPr>
          <w:sz w:val="28"/>
          <w:szCs w:val="28"/>
          <w:highlight w:val="white"/>
        </w:rPr>
        <w:t xml:space="preserve">на </w:t>
      </w:r>
      <w:r>
        <w:rPr>
          <w:sz w:val="28"/>
          <w:szCs w:val="28"/>
          <w:highlight w:val="white"/>
        </w:rPr>
        <w:t xml:space="preserve">161 спортивных </w:t>
      </w:r>
      <w:r>
        <w:rPr>
          <w:sz w:val="28"/>
          <w:szCs w:val="28"/>
          <w:highlight w:val="white"/>
        </w:rPr>
        <w:t xml:space="preserve">сооружениях и объектах Чернянского муниципального округа.</w:t>
      </w:r>
      <w:r>
        <w:rPr>
          <w:highlight w:val="white"/>
        </w:rPr>
      </w:r>
    </w:p>
    <w:p>
      <w:pPr>
        <w:ind w:left="0" w:right="0" w:firstLine="708"/>
        <w:jc w:val="both"/>
        <w:shd w:val="clear" w:color="ffffff" w:fill="ffffff"/>
        <w:rPr>
          <w:color w:val="000000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  <w:sz w:val="28"/>
          <w:szCs w:val="28"/>
          <w:highlight w:val="white"/>
        </w:rPr>
        <w:t xml:space="preserve">Охрана здоровья населения является одним из приоритетных направлений </w:t>
      </w:r>
      <w:r>
        <w:rPr>
          <w:color w:val="000000"/>
          <w:sz w:val="28"/>
          <w:szCs w:val="28"/>
          <w:highlight w:val="white"/>
        </w:rPr>
        <w:t xml:space="preserve">социальной политики  Чернянского муниципального округа. Медицинскую помощь </w:t>
      </w:r>
      <w:r>
        <w:rPr>
          <w:color w:val="000000"/>
          <w:sz w:val="28"/>
          <w:szCs w:val="28"/>
          <w:highlight w:val="white"/>
        </w:rPr>
        <w:t xml:space="preserve">населению  оказывает ОГБУ</w:t>
      </w:r>
      <w:r>
        <w:rPr>
          <w:color w:val="000000"/>
          <w:sz w:val="28"/>
          <w:szCs w:val="28"/>
          <w:highlight w:val="white"/>
        </w:rPr>
        <w:t xml:space="preserve">З «Чернянская ЦРБ им. П.В. Гапотченко»,</w:t>
      </w:r>
      <w:r>
        <w:rPr>
          <w:color w:val="000000"/>
          <w:sz w:val="28"/>
          <w:szCs w:val="28"/>
          <w:highlight w:val="white"/>
        </w:rPr>
        <w:t xml:space="preserve"> </w:t>
      </w:r>
      <w:r>
        <w:rPr>
          <w:color w:val="000000"/>
          <w:sz w:val="28"/>
          <w:szCs w:val="28"/>
          <w:highlight w:val="white"/>
        </w:rPr>
        <w:t xml:space="preserve">а</w:t>
      </w:r>
      <w:r>
        <w:rPr>
          <w:color w:val="000000"/>
          <w:sz w:val="28"/>
          <w:szCs w:val="28"/>
          <w:highlight w:val="white"/>
        </w:rPr>
        <w:t xml:space="preserve">мбулаторно-поликлиническую помощь оказывают 22 офиса семейного врача, 22 </w:t>
      </w:r>
      <w:r>
        <w:rPr>
          <w:color w:val="000000"/>
          <w:sz w:val="28"/>
          <w:szCs w:val="28"/>
          <w:highlight w:val="white"/>
        </w:rPr>
        <w:t xml:space="preserve">фельдшерско-акушерских пункта.</w:t>
      </w:r>
      <w:r>
        <w:rPr>
          <w:color w:val="000000"/>
          <w:sz w:val="28"/>
          <w:szCs w:val="28"/>
          <w:highlight w:val="white"/>
          <w14:ligatures w14:val="none"/>
        </w:rPr>
      </w:r>
      <w:r>
        <w:rPr>
          <w:color w:val="000000"/>
          <w:sz w:val="28"/>
          <w:szCs w:val="28"/>
          <w:highlight w:val="white"/>
          <w14:ligatures w14:val="none"/>
        </w:rPr>
      </w:r>
    </w:p>
    <w:p>
      <w:pPr>
        <w:pStyle w:val="1003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       </w:t>
      </w:r>
      <w:r>
        <w:rPr>
          <w:sz w:val="28"/>
          <w:szCs w:val="28"/>
          <w:highlight w:val="white"/>
        </w:rPr>
        <w:t xml:space="preserve">  </w:t>
      </w:r>
      <w:r>
        <w:rPr>
          <w:sz w:val="28"/>
          <w:szCs w:val="28"/>
          <w:highlight w:val="white"/>
        </w:rPr>
        <w:t xml:space="preserve">В муниципальном округе последовательно осуществляется комплекс мер по защите трудовых и социальных прав граждан,  усилению адресности, социальной поддержке ну</w:t>
      </w:r>
      <w:r>
        <w:rPr>
          <w:sz w:val="28"/>
          <w:szCs w:val="28"/>
          <w:highlight w:val="white"/>
        </w:rPr>
        <w:t xml:space="preserve">ж</w:t>
      </w:r>
      <w:r>
        <w:rPr>
          <w:sz w:val="28"/>
          <w:szCs w:val="28"/>
          <w:highlight w:val="white"/>
        </w:rPr>
        <w:t xml:space="preserve">дающихся граждан.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20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результате целенаправленной рабо</w:t>
      </w:r>
      <w:r>
        <w:rPr>
          <w:sz w:val="28"/>
          <w:szCs w:val="28"/>
          <w:highlight w:val="white"/>
        </w:rPr>
        <w:t xml:space="preserve">ты в социальной сфере своевр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менно выпл</w:t>
      </w:r>
      <w:r>
        <w:rPr>
          <w:sz w:val="28"/>
          <w:szCs w:val="28"/>
          <w:highlight w:val="white"/>
        </w:rPr>
        <w:t xml:space="preserve">а</w:t>
      </w:r>
      <w:r>
        <w:rPr>
          <w:sz w:val="28"/>
          <w:szCs w:val="28"/>
          <w:highlight w:val="white"/>
        </w:rPr>
        <w:t xml:space="preserve">чиваются пенсии и детские пособия.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ab/>
        <w:t xml:space="preserve">Предметом особой заботы была и остается защита материнства и де</w:t>
      </w:r>
      <w:r>
        <w:rPr>
          <w:sz w:val="28"/>
          <w:szCs w:val="28"/>
          <w:highlight w:val="white"/>
        </w:rPr>
        <w:t xml:space="preserve">т</w:t>
      </w:r>
      <w:r>
        <w:rPr>
          <w:sz w:val="28"/>
          <w:szCs w:val="28"/>
          <w:highlight w:val="white"/>
        </w:rPr>
        <w:t xml:space="preserve">ства, инвалидов и ветеранов, а также малообеспеченных граждан и с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мей.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Богато культурное и историческое наследие района. На территории округа функционирует краеведческий музей, наход</w:t>
      </w:r>
      <w:r>
        <w:rPr>
          <w:sz w:val="28"/>
          <w:szCs w:val="28"/>
          <w:highlight w:val="white"/>
        </w:rPr>
        <w:t xml:space="preserve">я</w:t>
      </w:r>
      <w:r>
        <w:rPr>
          <w:sz w:val="28"/>
          <w:szCs w:val="28"/>
          <w:highlight w:val="white"/>
        </w:rPr>
        <w:t xml:space="preserve">тся </w:t>
      </w:r>
      <w:r>
        <w:rPr>
          <w:sz w:val="28"/>
          <w:szCs w:val="28"/>
          <w:highlight w:val="white"/>
        </w:rPr>
        <w:t xml:space="preserve">свыше 30 памятников в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инской славы, 9 памятников архитектуры.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left="0" w:right="0" w:firstLine="708"/>
        <w:jc w:val="both"/>
        <w:shd w:val="clear" w:color="ffffff" w:fill="ffffff"/>
        <w:rPr>
          <w:sz w:val="23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8"/>
          <w:szCs w:val="28"/>
          <w:highlight w:val="white"/>
        </w:rPr>
        <w:t xml:space="preserve">Главной достопримечательностью округа является Холковский подземный монастырь, историко-архитектурный памятник начала X</w:t>
      </w:r>
      <w:r>
        <w:rPr>
          <w:sz w:val="28"/>
          <w:szCs w:val="28"/>
          <w:highlight w:val="white"/>
          <w:lang w:val="en-US"/>
        </w:rPr>
        <w:t xml:space="preserve">V</w:t>
      </w:r>
      <w:r>
        <w:rPr>
          <w:sz w:val="28"/>
          <w:szCs w:val="28"/>
          <w:highlight w:val="white"/>
        </w:rPr>
        <w:t xml:space="preserve">II века, который по своему архитектурно-планировочному решению напоминает </w:t>
      </w:r>
      <w:r>
        <w:rPr>
          <w:sz w:val="28"/>
          <w:szCs w:val="28"/>
          <w:highlight w:val="white"/>
        </w:rPr>
        <w:t xml:space="preserve">пещ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ры Киево-Печерской лавры.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Туристическую </w:t>
      </w:r>
      <w:r>
        <w:rPr>
          <w:sz w:val="28"/>
          <w:szCs w:val="28"/>
          <w:highlight w:val="white"/>
        </w:rPr>
        <w:t xml:space="preserve">привлекательность бренда обеспечивают масштабные фестивали, которые проходят </w:t>
      </w:r>
      <w:r>
        <w:rPr>
          <w:sz w:val="28"/>
          <w:szCs w:val="28"/>
          <w:highlight w:val="white"/>
        </w:rPr>
        <w:t xml:space="preserve">в селе Холки: Областной фестиваль фольклора «Лето красное», Межрегиональный </w:t>
      </w:r>
      <w:r>
        <w:rPr>
          <w:sz w:val="28"/>
          <w:szCs w:val="28"/>
          <w:highlight w:val="white"/>
        </w:rPr>
        <w:t xml:space="preserve">фестиваль казачьей культуры «Холковский сполох», фестиваль семейных традиций </w:t>
      </w:r>
      <w:r>
        <w:rPr>
          <w:sz w:val="28"/>
          <w:szCs w:val="28"/>
          <w:highlight w:val="white"/>
        </w:rPr>
        <w:t xml:space="preserve">«Рождественские ценности».</w:t>
      </w:r>
      <w:r>
        <w:rPr>
          <w:sz w:val="23"/>
          <w:highlight w:val="white"/>
          <w14:ligatures w14:val="none"/>
        </w:rPr>
      </w:r>
      <w:r>
        <w:rPr>
          <w:sz w:val="23"/>
          <w:highlight w:val="white"/>
          <w14:ligatures w14:val="non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Историческими достопримечательностями района являются: храм в с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ле Раевка (памятник архитектуры Х</w:t>
      </w:r>
      <w:r>
        <w:rPr>
          <w:sz w:val="28"/>
          <w:szCs w:val="28"/>
          <w:highlight w:val="white"/>
          <w:lang w:val="en-US"/>
        </w:rPr>
        <w:t xml:space="preserve">I</w:t>
      </w:r>
      <w:r>
        <w:rPr>
          <w:sz w:val="28"/>
          <w:szCs w:val="28"/>
          <w:highlight w:val="white"/>
        </w:rPr>
        <w:t xml:space="preserve">Х века), Свято-Троицкий храм в селе Стан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вое (памятник архитектуры Х</w:t>
      </w:r>
      <w:r>
        <w:rPr>
          <w:sz w:val="28"/>
          <w:szCs w:val="28"/>
          <w:highlight w:val="white"/>
          <w:lang w:val="en-US"/>
        </w:rPr>
        <w:t xml:space="preserve">VII</w:t>
      </w:r>
      <w:r>
        <w:rPr>
          <w:sz w:val="28"/>
          <w:szCs w:val="28"/>
          <w:highlight w:val="white"/>
        </w:rPr>
        <w:t xml:space="preserve"> века), Покровская церковь в селе Захарово (памятник дере</w:t>
      </w:r>
      <w:r>
        <w:rPr>
          <w:sz w:val="28"/>
          <w:szCs w:val="28"/>
          <w:highlight w:val="white"/>
        </w:rPr>
        <w:t xml:space="preserve">вянного зодчества, конец  Х</w:t>
      </w:r>
      <w:r>
        <w:rPr>
          <w:sz w:val="28"/>
          <w:szCs w:val="28"/>
          <w:highlight w:val="white"/>
          <w:lang w:val="en-US"/>
        </w:rPr>
        <w:t xml:space="preserve">I</w:t>
      </w:r>
      <w:r>
        <w:rPr>
          <w:sz w:val="28"/>
          <w:szCs w:val="28"/>
          <w:highlight w:val="white"/>
        </w:rPr>
        <w:t xml:space="preserve">Х века), жилой дом купца Найденко Н.Д. (памя</w:t>
      </w:r>
      <w:r>
        <w:rPr>
          <w:sz w:val="28"/>
          <w:szCs w:val="28"/>
          <w:highlight w:val="white"/>
        </w:rPr>
        <w:t xml:space="preserve">т</w:t>
      </w:r>
      <w:r>
        <w:rPr>
          <w:sz w:val="28"/>
          <w:szCs w:val="28"/>
          <w:highlight w:val="white"/>
        </w:rPr>
        <w:t xml:space="preserve">ник архитектуры конца Х</w:t>
      </w:r>
      <w:r>
        <w:rPr>
          <w:sz w:val="28"/>
          <w:szCs w:val="28"/>
          <w:highlight w:val="white"/>
          <w:lang w:val="en-US"/>
        </w:rPr>
        <w:t xml:space="preserve">I</w:t>
      </w:r>
      <w:r>
        <w:rPr>
          <w:sz w:val="28"/>
          <w:szCs w:val="28"/>
          <w:highlight w:val="white"/>
        </w:rPr>
        <w:t xml:space="preserve">Х века), реликтовые сосны.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Чернянский муниципальный округ – родина многих известных людей. Среди них: ист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рик, археолог, искусствовед, академик Петербургской академии наук Н</w:t>
      </w:r>
      <w:r>
        <w:rPr>
          <w:sz w:val="28"/>
          <w:szCs w:val="28"/>
          <w:highlight w:val="white"/>
        </w:rPr>
        <w:t xml:space="preserve">.П. Ко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даков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ученый-астрофизик А.В.Марков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член Союза писателей СССР Ф.П. Певнев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исследователь Арктики В.М.Спиваков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член Союза художн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ков СССР, живописец-монументалист П.К.Бондаренко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доктор медицинских наук, заслуженный деятель науки Украины А.А.Федоро</w:t>
      </w:r>
      <w:r>
        <w:rPr>
          <w:sz w:val="28"/>
          <w:szCs w:val="28"/>
          <w:highlight w:val="white"/>
        </w:rPr>
        <w:t xml:space="preserve">вский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ортопед, доктор медици</w:t>
      </w:r>
      <w:r>
        <w:rPr>
          <w:sz w:val="28"/>
          <w:szCs w:val="28"/>
          <w:highlight w:val="white"/>
        </w:rPr>
        <w:t xml:space="preserve">н</w:t>
      </w:r>
      <w:r>
        <w:rPr>
          <w:sz w:val="28"/>
          <w:szCs w:val="28"/>
          <w:highlight w:val="white"/>
        </w:rPr>
        <w:t xml:space="preserve">ских наук А.П.Котов.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летопись России навечно вписаны имена фронтовиков-чернянцев, б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лее двух с половиной тысяч из которых награждены орденами и медалями. Район дал Родине шестерых Героев Советского Союза, полного кавалера ор</w:t>
      </w:r>
      <w:r>
        <w:rPr>
          <w:sz w:val="28"/>
          <w:szCs w:val="28"/>
          <w:highlight w:val="white"/>
        </w:rPr>
        <w:t xml:space="preserve">д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на Славы, двух Героев Социалистического Труда.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8"/>
        <w:jc w:val="both"/>
        <w:rPr>
          <w:b/>
          <w:bCs/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  <w:r>
        <w:rPr>
          <w:b/>
          <w:bCs/>
          <w:sz w:val="28"/>
          <w:szCs w:val="28"/>
          <w:highlight w:val="white"/>
        </w:rPr>
      </w:r>
    </w:p>
    <w:p>
      <w:pPr>
        <w:rPr>
          <w:b/>
          <w:color w:val="ff0000"/>
        </w:rPr>
      </w:pPr>
      <w:r>
        <w:rPr>
          <w:b/>
          <w:color w:val="ff0000"/>
        </w:rPr>
      </w:r>
      <w:r>
        <w:rPr>
          <w:b/>
          <w:color w:val="ff0000"/>
        </w:rPr>
      </w:r>
      <w:r>
        <w:rPr>
          <w:b/>
          <w:color w:val="ff0000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Анализ качества жизни населения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1.2.1. Демография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Численность населения муниципального 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</w:t>
      </w:r>
      <w:r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 году в среднегодовом исчислении составила </w:t>
      </w:r>
      <w:r>
        <w:rPr>
          <w:sz w:val="28"/>
          <w:szCs w:val="28"/>
        </w:rPr>
        <w:t xml:space="preserve">32,4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человек, в том числе городского </w:t>
      </w:r>
      <w:r>
        <w:rPr>
          <w:sz w:val="28"/>
          <w:szCs w:val="28"/>
        </w:rPr>
        <w:t xml:space="preserve">15,1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человек, сельского – </w:t>
      </w:r>
      <w:r>
        <w:rPr>
          <w:sz w:val="28"/>
          <w:szCs w:val="28"/>
        </w:rPr>
        <w:t xml:space="preserve">17,3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человек.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1004"/>
        <w:jc w:val="right"/>
        <w:rPr>
          <w:b w:val="0"/>
          <w:i/>
          <w:szCs w:val="28"/>
        </w:rPr>
      </w:pPr>
      <w:r>
        <w:rPr>
          <w:b w:val="0"/>
          <w:i/>
          <w:szCs w:val="28"/>
        </w:rPr>
        <w:t xml:space="preserve">Таблица 1</w:t>
      </w:r>
      <w:r>
        <w:rPr>
          <w:b w:val="0"/>
          <w:i/>
          <w:szCs w:val="28"/>
        </w:rPr>
      </w:r>
      <w:r>
        <w:rPr>
          <w:b w:val="0"/>
          <w:i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Среднегодовая численность населения в МО 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(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человек)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495"/>
        <w:gridCol w:w="731"/>
        <w:gridCol w:w="1080"/>
        <w:gridCol w:w="664"/>
        <w:gridCol w:w="1080"/>
        <w:gridCol w:w="720"/>
        <w:gridCol w:w="959"/>
        <w:gridCol w:w="661"/>
        <w:gridCol w:w="959"/>
        <w:gridCol w:w="661"/>
        <w:gridCol w:w="879"/>
      </w:tblGrid>
      <w:tr>
        <w:tblPrEx/>
        <w:trPr>
          <w:cantSplit/>
          <w:trHeight w:val="255"/>
        </w:trPr>
        <w:tc>
          <w:tcPr>
            <w:tcBorders>
              <w:top w:val="single" w:color="auto" w:sz="8" w:space="0"/>
              <w:left w:val="single" w:color="auto" w:sz="8" w:space="0"/>
              <w:bottom w:val="none" w:color="000000" w:sz="4" w:space="0"/>
              <w:right w:val="single" w:color="auto" w:sz="8" w:space="0"/>
            </w:tcBorders>
            <w:tcW w:w="1495" w:type="dxa"/>
            <w:textDirection w:val="lrTb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 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  <w:tc>
          <w:tcPr>
            <w:gridSpan w:val="2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tcW w:w="1811" w:type="dxa"/>
            <w:vAlign w:val="bottom"/>
            <w:textDirection w:val="lrTb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2007 год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  <w:tc>
          <w:tcPr>
            <w:gridSpan w:val="2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tcW w:w="1744" w:type="dxa"/>
            <w:vAlign w:val="bottom"/>
            <w:textDirection w:val="lrTb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2008 год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  <w:tc>
          <w:tcPr>
            <w:gridSpan w:val="2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tcW w:w="1679" w:type="dxa"/>
            <w:vAlign w:val="bottom"/>
            <w:textDirection w:val="lrTb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2009 год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  <w:tc>
          <w:tcPr>
            <w:gridSpan w:val="2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tcW w:w="1620" w:type="dxa"/>
            <w:vAlign w:val="bottom"/>
            <w:textDirection w:val="lrTb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  <w:lang w:val="en-US"/>
              </w:rPr>
              <w:t xml:space="preserve">20</w:t>
            </w:r>
            <w:r>
              <w:rPr>
                <w:b/>
                <w:bCs/>
                <w:sz w:val="18"/>
                <w:szCs w:val="18"/>
              </w:rPr>
              <w:t xml:space="preserve">10год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  <w:tc>
          <w:tcPr>
            <w:gridSpan w:val="2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tcW w:w="1540" w:type="dxa"/>
            <w:vAlign w:val="bottom"/>
            <w:textDirection w:val="lrTb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2011 год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</w:tr>
      <w:tr>
        <w:tblPrEx/>
        <w:trPr>
          <w:trHeight w:val="52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495" w:type="dxa"/>
            <w:textDirection w:val="lrTb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Показатели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1" w:type="dxa"/>
            <w:vAlign w:val="bottom"/>
            <w:textDirection w:val="btLr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МО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btLr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Об</w:t>
            </w:r>
            <w:r>
              <w:rPr>
                <w:b/>
                <w:bCs/>
                <w:sz w:val="18"/>
                <w:szCs w:val="18"/>
              </w:rPr>
              <w:t xml:space="preserve">-</w:t>
            </w:r>
            <w:r>
              <w:rPr>
                <w:b/>
                <w:bCs/>
                <w:sz w:val="18"/>
                <w:szCs w:val="18"/>
              </w:rPr>
              <w:t xml:space="preserve">ласть</w:t>
            </w:r>
            <w:r>
              <w:rPr>
                <w:b/>
                <w:bCs/>
                <w:sz w:val="18"/>
                <w:szCs w:val="18"/>
              </w:rPr>
              <w:t xml:space="preserve">*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4" w:type="dxa"/>
            <w:vAlign w:val="bottom"/>
            <w:textDirection w:val="btLr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МО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btLr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Об</w:t>
            </w:r>
            <w:r>
              <w:rPr>
                <w:b/>
                <w:bCs/>
                <w:sz w:val="18"/>
                <w:szCs w:val="18"/>
              </w:rPr>
              <w:t xml:space="preserve">-</w:t>
            </w:r>
            <w:r>
              <w:rPr>
                <w:b/>
                <w:bCs/>
                <w:sz w:val="18"/>
                <w:szCs w:val="18"/>
              </w:rPr>
              <w:t xml:space="preserve">ласть</w:t>
            </w:r>
            <w:r>
              <w:rPr>
                <w:b/>
                <w:bCs/>
                <w:sz w:val="18"/>
                <w:szCs w:val="18"/>
              </w:rPr>
              <w:t xml:space="preserve">*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20" w:type="dxa"/>
            <w:vAlign w:val="bottom"/>
            <w:textDirection w:val="btLr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МО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btLr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Об</w:t>
            </w:r>
            <w:r>
              <w:rPr>
                <w:b/>
                <w:bCs/>
                <w:sz w:val="18"/>
                <w:szCs w:val="18"/>
              </w:rPr>
              <w:t xml:space="preserve">-</w:t>
            </w:r>
            <w:r>
              <w:rPr>
                <w:b/>
                <w:bCs/>
                <w:sz w:val="18"/>
                <w:szCs w:val="18"/>
              </w:rPr>
              <w:t xml:space="preserve">ласть</w:t>
            </w:r>
            <w:r>
              <w:rPr>
                <w:b/>
                <w:bCs/>
                <w:sz w:val="18"/>
                <w:szCs w:val="18"/>
              </w:rPr>
              <w:t xml:space="preserve">*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btLr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МО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btLr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Об</w:t>
            </w:r>
            <w:r>
              <w:rPr>
                <w:b/>
                <w:bCs/>
                <w:sz w:val="18"/>
                <w:szCs w:val="18"/>
              </w:rPr>
              <w:t xml:space="preserve">-</w:t>
            </w:r>
            <w:r>
              <w:rPr>
                <w:b/>
                <w:bCs/>
                <w:sz w:val="18"/>
                <w:szCs w:val="18"/>
              </w:rPr>
              <w:t xml:space="preserve">ласть</w:t>
            </w:r>
            <w:r>
              <w:rPr>
                <w:b/>
                <w:bCs/>
                <w:sz w:val="18"/>
                <w:szCs w:val="18"/>
              </w:rPr>
              <w:t xml:space="preserve">*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btLr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МО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879" w:type="dxa"/>
            <w:vAlign w:val="bottom"/>
            <w:textDirection w:val="btLr"/>
            <w:noWrap w:val="false"/>
          </w:tcPr>
          <w:p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Об</w:t>
            </w:r>
            <w:r>
              <w:rPr>
                <w:b/>
                <w:bCs/>
                <w:sz w:val="18"/>
                <w:szCs w:val="18"/>
              </w:rPr>
              <w:t xml:space="preserve">-</w:t>
            </w:r>
            <w:r>
              <w:rPr>
                <w:b/>
                <w:bCs/>
                <w:sz w:val="18"/>
                <w:szCs w:val="18"/>
              </w:rPr>
              <w:t xml:space="preserve">ласть</w:t>
            </w:r>
            <w:r>
              <w:rPr>
                <w:b/>
                <w:bCs/>
                <w:sz w:val="18"/>
                <w:szCs w:val="18"/>
              </w:rPr>
              <w:t xml:space="preserve">*</w:t>
            </w:r>
            <w:r>
              <w:rPr>
                <w:b/>
                <w:bCs/>
                <w:sz w:val="18"/>
                <w:szCs w:val="18"/>
              </w:rPr>
            </w:r>
            <w:r>
              <w:rPr>
                <w:b/>
                <w:bCs/>
                <w:sz w:val="18"/>
                <w:szCs w:val="18"/>
              </w:rPr>
            </w:r>
          </w:p>
        </w:tc>
      </w:tr>
      <w:tr>
        <w:tblPrEx/>
        <w:trPr>
          <w:trHeight w:val="90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495" w:type="dxa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Среднегодовая численность населения – всего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32,60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1 516,4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4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32,64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1522,1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2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32,59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1527,6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32</w:t>
            </w:r>
            <w:r>
              <w:rPr>
                <w:sz w:val="18"/>
                <w:szCs w:val="18"/>
              </w:rPr>
              <w:t xml:space="preserve">,6</w:t>
            </w:r>
            <w:r>
              <w:rPr>
                <w:sz w:val="18"/>
                <w:szCs w:val="18"/>
                <w:lang w:val="en-US"/>
              </w:rPr>
              <w:t xml:space="preserve">4</w:t>
            </w:r>
            <w:r>
              <w:rPr>
                <w:sz w:val="18"/>
                <w:szCs w:val="18"/>
                <w:lang w:val="en-US"/>
              </w:rPr>
            </w:r>
            <w:r>
              <w:rPr>
                <w:sz w:val="18"/>
                <w:szCs w:val="18"/>
                <w:lang w:val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1532,2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32,4</w:t>
            </w:r>
            <w:r>
              <w:rPr>
                <w:sz w:val="18"/>
                <w:szCs w:val="18"/>
              </w:rPr>
              <w:t xml:space="preserve">3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87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1533,9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blPrEx/>
        <w:trPr>
          <w:trHeight w:val="643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495" w:type="dxa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Темп роста к предыдущему году,</w:t>
            </w:r>
            <w:r>
              <w:rPr>
                <w:sz w:val="18"/>
                <w:szCs w:val="18"/>
              </w:rPr>
              <w:t xml:space="preserve">%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100,1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100,3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4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100,1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100,4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2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99,8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100,4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100,2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100,3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99,</w:t>
            </w:r>
            <w:r>
              <w:rPr>
                <w:sz w:val="18"/>
                <w:szCs w:val="18"/>
              </w:rPr>
              <w:t xml:space="preserve">4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87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100,1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blPrEx/>
        <w:trPr>
          <w:trHeight w:val="1689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495" w:type="dxa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Доля среднегодовой численности населения МО в среднегодовой численности населения области,</w:t>
            </w:r>
            <w:r>
              <w:rPr>
                <w:sz w:val="18"/>
                <w:szCs w:val="18"/>
              </w:rPr>
              <w:t xml:space="preserve">%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2,1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4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2,1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2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2,1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2,1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2,1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879" w:type="dxa"/>
            <w:vAlign w:val="bottom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blPrEx/>
        <w:trPr>
          <w:trHeight w:val="327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495" w:type="dxa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том числе: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1" w:type="dxa"/>
            <w:vAlign w:val="bottom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4" w:type="dxa"/>
            <w:vAlign w:val="bottom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20" w:type="dxa"/>
            <w:vAlign w:val="bottom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</w:r>
            <w:r>
              <w:rPr>
                <w:color w:val="ff0000"/>
                <w:sz w:val="18"/>
                <w:szCs w:val="18"/>
              </w:rPr>
            </w:r>
            <w:r>
              <w:rPr>
                <w:color w:val="ff0000"/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879" w:type="dxa"/>
            <w:vAlign w:val="bottom"/>
            <w:textDirection w:val="lrTb"/>
            <w:noWrap w:val="false"/>
          </w:tcPr>
          <w:p>
            <w:pPr>
              <w:rPr>
                <w:color w:val="ff0000"/>
                <w:sz w:val="18"/>
                <w:szCs w:val="18"/>
              </w:rPr>
            </w:pPr>
            <w:r>
              <w:rPr>
                <w:color w:val="ff0000"/>
                <w:sz w:val="18"/>
                <w:szCs w:val="18"/>
              </w:rPr>
            </w:r>
            <w:r>
              <w:rPr>
                <w:color w:val="ff0000"/>
                <w:sz w:val="18"/>
                <w:szCs w:val="18"/>
              </w:rPr>
            </w:r>
            <w:r>
              <w:rPr>
                <w:color w:val="ff0000"/>
                <w:sz w:val="18"/>
                <w:szCs w:val="18"/>
              </w:rPr>
            </w:r>
          </w:p>
        </w:tc>
      </w:tr>
      <w:tr>
        <w:tblPrEx/>
        <w:trPr>
          <w:trHeight w:val="270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495" w:type="dxa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городское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15,00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1 008,2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4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15,08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1012,3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2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15,09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1015,4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15,21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1012,2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15,1</w:t>
            </w:r>
            <w:r>
              <w:rPr>
                <w:sz w:val="18"/>
                <w:szCs w:val="18"/>
              </w:rPr>
              <w:t xml:space="preserve">4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87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1017,0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blPrEx/>
        <w:trPr>
          <w:trHeight w:val="61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495" w:type="dxa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Темп роста к предыдущему году,</w:t>
            </w:r>
            <w:r>
              <w:rPr>
                <w:sz w:val="18"/>
                <w:szCs w:val="18"/>
              </w:rPr>
              <w:t xml:space="preserve">%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100,4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100,7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4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100,5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100,4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2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100,1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100,3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100,8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99,7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99,5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87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100,5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blPrEx/>
        <w:trPr>
          <w:trHeight w:val="1237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495" w:type="dxa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Доля городского населения в общей численности населения,</w:t>
            </w:r>
            <w:r>
              <w:rPr>
                <w:sz w:val="18"/>
                <w:szCs w:val="18"/>
              </w:rPr>
              <w:t xml:space="preserve">%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46,0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66,5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4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46,2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66,5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2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46,3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66,5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46,6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66,1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46,7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87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66,3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blPrEx/>
        <w:trPr>
          <w:trHeight w:val="270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tcW w:w="1495" w:type="dxa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сельское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1" w:type="dxa"/>
            <w:vAlign w:val="bottom"/>
            <w:textDirection w:val="lrTb"/>
            <w:noWrap w:val="false"/>
          </w:tcPr>
          <w:p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17,60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508,2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664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17,57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509,8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2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17,50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512,2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17,43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520,0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17,29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87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516,9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blPrEx/>
        <w:trPr>
          <w:trHeight w:val="69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tcW w:w="1495" w:type="dxa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Темп роста к предыдущему году,</w:t>
            </w:r>
            <w:r>
              <w:rPr>
                <w:sz w:val="18"/>
                <w:szCs w:val="18"/>
              </w:rPr>
              <w:t xml:space="preserve">%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99,7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99,5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4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99,8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100,3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2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99,6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100,5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99,6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101,5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99,2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4" w:space="0"/>
            </w:tcBorders>
            <w:tcW w:w="87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99,4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  <w:tr>
        <w:tblPrEx/>
        <w:trPr>
          <w:trHeight w:val="1077"/>
        </w:trPr>
        <w:tc>
          <w:tcPr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1495" w:type="dxa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Доля сельского населения в общей численности населения,</w:t>
            </w:r>
            <w:r>
              <w:rPr>
                <w:sz w:val="18"/>
                <w:szCs w:val="18"/>
              </w:rPr>
              <w:t xml:space="preserve">%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54,0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33,5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664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53,8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108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33,5   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2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53,7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33,5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53,4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95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33,9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shd w:val="clear" w:color="auto" w:fill="c0c0c0"/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661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53,3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  <w:tc>
          <w:tcPr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879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33,7</w: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</w:r>
          </w:p>
        </w:tc>
      </w:tr>
    </w:tbl>
    <w:p>
      <w:pPr>
        <w:jc w:val="right"/>
        <w:rPr>
          <w:color w:val="ff0000"/>
          <w:sz w:val="16"/>
        </w:rPr>
      </w:pPr>
      <w:r>
        <w:rPr>
          <w:color w:val="ff0000"/>
          <w:sz w:val="16"/>
        </w:rPr>
      </w:r>
      <w:r>
        <w:rPr>
          <w:color w:val="ff0000"/>
          <w:sz w:val="16"/>
        </w:rPr>
      </w:r>
      <w:r>
        <w:rPr>
          <w:color w:val="ff0000"/>
          <w:sz w:val="16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*) по данным </w:t>
      </w:r>
      <w:r>
        <w:rPr>
          <w:sz w:val="28"/>
          <w:szCs w:val="28"/>
        </w:rPr>
        <w:t xml:space="preserve">Белгородстата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2007-2011 годы среднегодовая численность населения снизилась на 180 человек.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Снижение численности населения муниципального образования в целом обусловлено снижением численности сельского населения на 1,8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отличие от </w:t>
      </w:r>
      <w:r>
        <w:rPr>
          <w:sz w:val="28"/>
          <w:szCs w:val="28"/>
        </w:rPr>
        <w:t xml:space="preserve">среднеобластных</w:t>
      </w:r>
      <w:r>
        <w:rPr>
          <w:sz w:val="28"/>
          <w:szCs w:val="28"/>
        </w:rPr>
        <w:t xml:space="preserve"> показателей основная доля населения муниципального образования сосредоточена в сельской местности. Следует отметить, что в муниципальном образовании доля сельского населения значительно выше, чем в целом по области (в  2011 году - на 19,6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2011 году  доля городского населения составила  46,7% от общей численности, что на 0,7 </w:t>
      </w:r>
      <w:r>
        <w:rPr>
          <w:sz w:val="28"/>
          <w:szCs w:val="28"/>
        </w:rPr>
        <w:t xml:space="preserve">процент</w:t>
      </w:r>
      <w:r>
        <w:rPr>
          <w:sz w:val="28"/>
          <w:szCs w:val="28"/>
        </w:rPr>
        <w:t xml:space="preserve">ных пункта бо</w:t>
      </w:r>
      <w:r>
        <w:rPr>
          <w:sz w:val="28"/>
          <w:szCs w:val="28"/>
        </w:rPr>
        <w:t xml:space="preserve">льше показателя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2007 года,  а доля сельского населения составила 53,3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, удельный вес которого по сравнению с 2007 годом сократился на  0,7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</w:t>
      </w:r>
      <w:r>
        <w:rPr>
          <w:sz w:val="28"/>
          <w:szCs w:val="28"/>
        </w:rPr>
        <w:t xml:space="preserve">ного пункта</w:t>
      </w:r>
      <w:r>
        <w:rPr>
          <w:sz w:val="28"/>
          <w:szCs w:val="28"/>
        </w:rPr>
        <w:t xml:space="preserve"> (рис.2)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drawing>
          <wp:inline distT="0" distB="0" distL="0" distR="0">
            <wp:extent cx="5495925" cy="1628775"/>
            <wp:effectExtent l="0" t="0" r="0" b="0"/>
            <wp:docPr id="7" name="Объект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Рис. </w:t>
      </w:r>
      <w:r>
        <w:rPr>
          <w:b/>
          <w:color w:val="000000"/>
          <w:sz w:val="28"/>
          <w:szCs w:val="28"/>
        </w:rPr>
        <w:t xml:space="preserve">2</w:t>
      </w:r>
      <w:r>
        <w:rPr>
          <w:b/>
          <w:color w:val="000000"/>
          <w:sz w:val="28"/>
          <w:szCs w:val="28"/>
        </w:rPr>
        <w:t xml:space="preserve"> Динамика среднегодовой численности населения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муниципального образования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Демографическая ситуация в МО в целом характеризуется продолжающимся процессом естественной убыли населения, что является следствием превышения числа умерших над числом родившихся.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2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демографические показатели в МО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( человек на 1000 населения)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031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585"/>
        <w:gridCol w:w="585"/>
        <w:gridCol w:w="585"/>
        <w:gridCol w:w="585"/>
        <w:gridCol w:w="585"/>
        <w:gridCol w:w="585"/>
        <w:gridCol w:w="585"/>
        <w:gridCol w:w="585"/>
        <w:gridCol w:w="630"/>
        <w:gridCol w:w="630"/>
        <w:gridCol w:w="1283"/>
      </w:tblGrid>
      <w:tr>
        <w:tblPrEx/>
        <w:trPr>
          <w:trHeight w:val="435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2808" w:type="dxa"/>
            <w:textDirection w:val="lrTb"/>
            <w:noWrap w:val="false"/>
          </w:tcPr>
          <w:p>
            <w:pPr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70" w:type="dxa"/>
            <w:textDirection w:val="lrTb"/>
            <w:noWrap w:val="false"/>
          </w:tcPr>
          <w:p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2007 год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70" w:type="dxa"/>
            <w:textDirection w:val="lrTb"/>
            <w:noWrap w:val="false"/>
          </w:tcPr>
          <w:p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2008 год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70" w:type="dxa"/>
            <w:textDirection w:val="lrTb"/>
            <w:noWrap w:val="false"/>
          </w:tcPr>
          <w:p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2009 год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70" w:type="dxa"/>
            <w:textDirection w:val="lrTb"/>
            <w:noWrap w:val="false"/>
          </w:tcPr>
          <w:p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2010 год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43" w:type="dxa"/>
            <w:textDirection w:val="lrTb"/>
            <w:noWrap w:val="false"/>
          </w:tcPr>
          <w:p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2011 год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</w:tr>
      <w:tr>
        <w:tblPrEx/>
        <w:trPr>
          <w:cantSplit/>
          <w:trHeight w:val="967"/>
          <w:tblHeader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8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Показатели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МО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область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МО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область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МО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область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МО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область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МО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область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Коэффициент сравнения (МО/об)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8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Уровень рождаемости</w:t>
            </w:r>
            <w:r/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13,3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10,3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12,3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11,0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10,6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11,0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11,7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10,9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12,</w:t>
            </w:r>
            <w:r>
              <w:rPr>
                <w:sz w:val="16"/>
              </w:rPr>
              <w:t xml:space="preserve">5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11,1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1,1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8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Темп роста к предыдущему году,</w:t>
            </w:r>
            <w:r>
              <w:rPr>
                <w:sz w:val="22"/>
                <w:szCs w:val="22"/>
              </w:rPr>
              <w:t xml:space="preserve">%</w:t>
            </w:r>
            <w:r/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140,0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112,0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92,5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106,8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86,2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100,0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100,9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99,1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</w:t>
            </w:r>
            <w:r>
              <w:rPr>
                <w:sz w:val="16"/>
              </w:rPr>
              <w:t xml:space="preserve">6,8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101,8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8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Уровень рождаемости городского населения</w:t>
            </w:r>
            <w:r/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13,3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10,4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16,4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11,0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14,4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11,0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18,1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10,9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19,1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11,</w:t>
            </w:r>
            <w:r>
              <w:rPr>
                <w:sz w:val="16"/>
              </w:rPr>
              <w:t xml:space="preserve">3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1,7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8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Уровень рождаемости сельского населения</w:t>
            </w:r>
            <w:r/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9,4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10,3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8,9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11,1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7,4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11,0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6,2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10,7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6,2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</w:t>
            </w:r>
            <w:r>
              <w:rPr>
                <w:sz w:val="16"/>
              </w:rPr>
              <w:t xml:space="preserve">0,7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0,6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8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Уровень смертности</w:t>
            </w:r>
            <w:r/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18,2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14,8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18,5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14,7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17,3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14,4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17,3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14,4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18,</w:t>
            </w:r>
            <w:r>
              <w:rPr>
                <w:sz w:val="16"/>
              </w:rPr>
              <w:t xml:space="preserve">5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14,1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1,3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8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Темп роста к предыдущему году,</w:t>
            </w:r>
            <w:r>
              <w:rPr>
                <w:sz w:val="22"/>
                <w:szCs w:val="22"/>
              </w:rPr>
              <w:t xml:space="preserve">%</w:t>
            </w:r>
            <w:r/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96,3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91,9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101,6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99,3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93,5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98,0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100,0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100,0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</w:t>
            </w:r>
            <w:r>
              <w:rPr>
                <w:sz w:val="16"/>
              </w:rPr>
              <w:t xml:space="preserve">6,9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97,9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</w:r>
            <w:r>
              <w:rPr>
                <w:color w:val="ff0000"/>
                <w:sz w:val="16"/>
              </w:rPr>
            </w:r>
            <w:r>
              <w:rPr>
                <w:color w:val="ff0000"/>
                <w:sz w:val="16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8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Уровень смертности городского населения</w:t>
            </w:r>
            <w:r/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14,8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12,1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17,0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12,1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16,0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11,9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16,9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12,2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19,1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12,0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1,6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8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Уровень смертности сельского населения</w:t>
            </w:r>
            <w:r/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19,5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20,1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19,7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18,4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19,3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17,7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18,7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18,3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</w:t>
            </w:r>
            <w:r>
              <w:rPr>
                <w:sz w:val="16"/>
              </w:rPr>
              <w:t xml:space="preserve">8,2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8" w:type="dxa"/>
            <w:textDirection w:val="lrTb"/>
            <w:noWrap w:val="false"/>
          </w:tcPr>
          <w:p>
            <w:r>
              <w:rPr>
                <w:sz w:val="22"/>
                <w:szCs w:val="22"/>
              </w:rPr>
              <w:t xml:space="preserve">Естественный прирост (+),  убыль (-) населения</w:t>
            </w:r>
            <w:r/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-4,9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-4,5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-6,2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-3,7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-6,7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-3,4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-5,6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-3,5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-6,</w:t>
            </w:r>
            <w:r>
              <w:rPr>
                <w:sz w:val="16"/>
              </w:rPr>
              <w:t xml:space="preserve">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-3,</w:t>
            </w:r>
            <w:r>
              <w:rPr>
                <w:sz w:val="16"/>
              </w:rPr>
              <w:t xml:space="preserve">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2,0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8" w:type="dxa"/>
            <w:textDirection w:val="lrTb"/>
            <w:noWrap w:val="false"/>
          </w:tcPr>
          <w:p>
            <w:r>
              <w:rPr>
                <w:sz w:val="22"/>
                <w:szCs w:val="22"/>
              </w:rPr>
              <w:t xml:space="preserve">Темп роста к предыдущему году,</w:t>
            </w:r>
            <w:r>
              <w:rPr>
                <w:sz w:val="22"/>
                <w:szCs w:val="22"/>
              </w:rPr>
              <w:t xml:space="preserve">%</w:t>
            </w:r>
            <w:r/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52,1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65,2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126,5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82,2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108,1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91,9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98,5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102,9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</w:t>
            </w:r>
            <w:r>
              <w:rPr>
                <w:sz w:val="16"/>
              </w:rPr>
              <w:t xml:space="preserve">07,1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8</w:t>
            </w:r>
            <w:r>
              <w:rPr>
                <w:sz w:val="16"/>
              </w:rPr>
              <w:t xml:space="preserve">5,7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  <w:p>
            <w:pPr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  <w:p>
            <w:pPr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  <w:p>
            <w:pPr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8" w:type="dxa"/>
            <w:textDirection w:val="lrTb"/>
            <w:noWrap w:val="false"/>
          </w:tcPr>
          <w:p>
            <w:r>
              <w:rPr>
                <w:sz w:val="22"/>
                <w:szCs w:val="22"/>
              </w:rPr>
              <w:t xml:space="preserve">Миграционный прирост (+), убыль (-) населения</w:t>
            </w:r>
            <w:r/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8,0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8,1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5,8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7,6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3,4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6,7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0,0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3,9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-1,1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5,4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-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  <w:tr>
        <w:tblPrEx/>
        <w:trPr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808" w:type="dxa"/>
            <w:textDirection w:val="lrTb"/>
            <w:noWrap w:val="false"/>
          </w:tcPr>
          <w:p>
            <w:r>
              <w:rPr>
                <w:sz w:val="22"/>
                <w:szCs w:val="22"/>
              </w:rPr>
              <w:t xml:space="preserve">Темп роста к предыдущему году,</w:t>
            </w:r>
            <w:r>
              <w:rPr>
                <w:sz w:val="22"/>
                <w:szCs w:val="22"/>
              </w:rPr>
              <w:t xml:space="preserve">%</w:t>
            </w:r>
            <w:r/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х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105,2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72,5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93,8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58,6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88,2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х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58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58,2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х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63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138,5</w:t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6"/>
              </w:rPr>
            </w:pPr>
            <w:r>
              <w:rPr>
                <w:sz w:val="16"/>
              </w:rPr>
            </w:r>
            <w:r>
              <w:rPr>
                <w:sz w:val="16"/>
              </w:rPr>
            </w:r>
            <w:r>
              <w:rPr>
                <w:sz w:val="16"/>
              </w:rPr>
            </w:r>
          </w:p>
        </w:tc>
      </w:tr>
    </w:tbl>
    <w:p>
      <w:pPr>
        <w:ind w:firstLine="72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 2011 году уровень рождаемости составил 12,2 человека на                       1000 человек населения, что на 8,3% ниже, чем в 2007 </w:t>
      </w:r>
      <w:r>
        <w:rPr>
          <w:sz w:val="28"/>
          <w:szCs w:val="28"/>
        </w:rPr>
        <w:t xml:space="preserve">году</w:t>
      </w:r>
      <w:r>
        <w:rPr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Следует</w:t>
      </w:r>
      <w:r>
        <w:rPr>
          <w:color w:val="000000"/>
          <w:sz w:val="28"/>
          <w:szCs w:val="28"/>
        </w:rPr>
        <w:t xml:space="preserve"> отметить, что уровень рождаемости населения в муниципальном образовании в </w:t>
      </w:r>
      <w:r>
        <w:rPr>
          <w:sz w:val="28"/>
          <w:szCs w:val="28"/>
        </w:rPr>
        <w:t xml:space="preserve">анализируемом периоде выше, чем в среднем по области на 10,9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процента</w:t>
      </w:r>
      <w:r>
        <w:rPr>
          <w:sz w:val="28"/>
          <w:szCs w:val="28"/>
        </w:rPr>
        <w:t xml:space="preserve">. Рождаемость городского населения превышает </w:t>
      </w:r>
      <w:r>
        <w:rPr>
          <w:sz w:val="28"/>
          <w:szCs w:val="28"/>
        </w:rPr>
        <w:t xml:space="preserve">среднеобластной</w:t>
      </w:r>
      <w:r>
        <w:rPr>
          <w:sz w:val="28"/>
          <w:szCs w:val="28"/>
        </w:rPr>
        <w:t xml:space="preserve"> показатель на 69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процентов</w:t>
      </w:r>
      <w:r>
        <w:rPr>
          <w:sz w:val="28"/>
          <w:szCs w:val="28"/>
        </w:rPr>
        <w:t xml:space="preserve">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Уровень смертности в МО за последние 5 лет </w:t>
      </w:r>
      <w:r>
        <w:rPr>
          <w:sz w:val="28"/>
          <w:szCs w:val="28"/>
        </w:rPr>
        <w:t xml:space="preserve">увеличился </w:t>
      </w:r>
      <w:r>
        <w:rPr>
          <w:color w:val="000000"/>
          <w:sz w:val="28"/>
          <w:szCs w:val="28"/>
        </w:rPr>
        <w:t xml:space="preserve">и</w:t>
      </w:r>
      <w:r>
        <w:rPr>
          <w:color w:val="000000"/>
          <w:sz w:val="28"/>
          <w:szCs w:val="28"/>
        </w:rPr>
        <w:t xml:space="preserve"> по-прежнему остается значительно выше областного показателя (на 32,6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2011 году).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Положительной тенденцией является снижение смертности сельского населения. В 2011</w:t>
      </w:r>
      <w:r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уровень смертности в </w:t>
      </w:r>
      <w:r>
        <w:rPr>
          <w:color w:val="000000"/>
          <w:sz w:val="28"/>
          <w:szCs w:val="28"/>
        </w:rPr>
        <w:t xml:space="preserve">селе снизился</w:t>
      </w:r>
      <w:r>
        <w:rPr>
          <w:color w:val="000000"/>
          <w:sz w:val="28"/>
          <w:szCs w:val="28"/>
        </w:rPr>
        <w:t xml:space="preserve"> по сравне</w:t>
      </w:r>
      <w:r>
        <w:rPr>
          <w:color w:val="000000"/>
          <w:sz w:val="28"/>
          <w:szCs w:val="28"/>
        </w:rPr>
        <w:t xml:space="preserve">нию с 2007 годом на 6,2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процента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514975" cy="2124075"/>
            <wp:effectExtent l="0" t="0" r="0" b="0"/>
            <wp:docPr id="8" name="Объект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Рис. </w:t>
      </w:r>
      <w:r>
        <w:rPr>
          <w:b/>
          <w:color w:val="000000"/>
          <w:sz w:val="28"/>
          <w:szCs w:val="28"/>
        </w:rPr>
        <w:t xml:space="preserve">3</w:t>
      </w:r>
      <w:r>
        <w:rPr>
          <w:b/>
          <w:color w:val="000000"/>
          <w:sz w:val="28"/>
          <w:szCs w:val="28"/>
        </w:rPr>
        <w:t xml:space="preserve">. Динамика показателей естественного движения населения МО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(на 1 000 человек населения)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Естественная убыль населения по муниципальному образованию за анализируемый период увеличилась на 32,7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процентов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последние годы  наблюд</w:t>
      </w:r>
      <w:r>
        <w:rPr>
          <w:sz w:val="28"/>
          <w:szCs w:val="28"/>
        </w:rPr>
        <w:t xml:space="preserve">ался миграционный приток населения. Однако в 2010 году миграция населения по итогам года в целом составила 0 человек на 1000 человек населения, а в 2011 году сложилась миграционная убыль населения и составила -1,1 человек на 1000 человек МО.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Несмотря на реализацию мероприятий по улучшению демографической с</w:t>
      </w:r>
      <w:r>
        <w:rPr>
          <w:sz w:val="28"/>
          <w:szCs w:val="28"/>
        </w:rPr>
        <w:t xml:space="preserve">итуации и положительную динамику отдельных показателей как в области, так и в муниципальном образовании, демографическая ситуация в муниципальном образовании остается сложной, имеет место низкая рождаемость и высокий уровень смертности сельского населения.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состоянию на 01.01.2012 года </w:t>
      </w:r>
      <w:r>
        <w:rPr>
          <w:sz w:val="28"/>
          <w:szCs w:val="28"/>
        </w:rPr>
        <w:t xml:space="preserve">численность женщин превы</w:t>
      </w:r>
      <w:r>
        <w:rPr>
          <w:sz w:val="28"/>
          <w:szCs w:val="28"/>
        </w:rPr>
        <w:t xml:space="preserve">шает численность мужчин на 2 400</w:t>
      </w:r>
      <w:r>
        <w:rPr>
          <w:sz w:val="28"/>
          <w:szCs w:val="28"/>
        </w:rPr>
        <w:t xml:space="preserve"> человек. На 1000 мужчин приходилось </w:t>
      </w:r>
      <w:r>
        <w:rPr>
          <w:sz w:val="28"/>
          <w:szCs w:val="28"/>
        </w:rPr>
        <w:t xml:space="preserve">                         1 160</w:t>
      </w:r>
      <w:r>
        <w:rPr>
          <w:sz w:val="28"/>
          <w:szCs w:val="28"/>
        </w:rPr>
        <w:t xml:space="preserve"> женщин. Доля мужчин в общей численности муниципального образования составляет 46,2%, женщин 53,8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2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 </w:t>
      </w:r>
      <w:r>
        <w:rPr>
          <w:i/>
          <w:sz w:val="28"/>
          <w:szCs w:val="28"/>
        </w:rPr>
        <w:t xml:space="preserve">3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Распределение численности населения по возрастным группам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 xml:space="preserve">состоянию на 01.01.2012 года</w:t>
      </w:r>
      <w:r>
        <w:rPr>
          <w:b/>
          <w:sz w:val="28"/>
          <w:szCs w:val="28"/>
        </w:rPr>
        <w:t xml:space="preserve"> в МО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(человек)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7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1134"/>
        <w:gridCol w:w="1134"/>
        <w:gridCol w:w="1276"/>
        <w:gridCol w:w="2693"/>
      </w:tblGrid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10" w:type="dxa"/>
            <w:textDirection w:val="lrTb"/>
            <w:noWrap w:val="false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Показатели</w:t>
            </w:r>
            <w:r>
              <w:rPr>
                <w:b/>
                <w:sz w:val="28"/>
                <w:szCs w:val="28"/>
              </w:rPr>
            </w:r>
            <w:r>
              <w:rPr>
                <w:b/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мужчины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женщины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Всего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Доля в общей численности населения,</w:t>
            </w:r>
            <w:r>
              <w:rPr>
                <w:sz w:val="28"/>
                <w:szCs w:val="28"/>
              </w:rPr>
              <w:t xml:space="preserve">%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10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Численность населения-всего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</w:t>
            </w:r>
            <w:r>
              <w:rPr>
                <w:sz w:val="28"/>
                <w:szCs w:val="28"/>
              </w:rPr>
              <w:t xml:space="preserve">4 958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17</w:t>
            </w:r>
            <w:r>
              <w:rPr>
                <w:sz w:val="28"/>
                <w:szCs w:val="28"/>
              </w:rPr>
              <w:t xml:space="preserve"> 358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32</w:t>
            </w:r>
            <w:r>
              <w:rPr>
                <w:sz w:val="28"/>
                <w:szCs w:val="28"/>
              </w:rPr>
              <w:t xml:space="preserve"> 316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100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10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том числе: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10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моложе трудоспособного возраста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271</w:t>
            </w:r>
            <w:r>
              <w:rPr>
                <w:sz w:val="28"/>
                <w:szCs w:val="28"/>
              </w:rPr>
              <w:t xml:space="preserve">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</w:t>
            </w:r>
            <w:r>
              <w:rPr>
                <w:sz w:val="28"/>
                <w:szCs w:val="28"/>
              </w:rPr>
              <w:t xml:space="preserve">18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53</w:t>
            </w:r>
            <w:r>
              <w:rPr>
                <w:sz w:val="28"/>
                <w:szCs w:val="28"/>
              </w:rPr>
              <w:t xml:space="preserve">35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16,</w:t>
            </w: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10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трудоспособного возраста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</w:t>
            </w:r>
            <w:r>
              <w:rPr>
                <w:sz w:val="28"/>
                <w:szCs w:val="28"/>
              </w:rPr>
              <w:t xml:space="preserve"> 824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8 991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18 815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58,</w:t>
            </w:r>
            <w:r>
              <w:rPr>
                <w:sz w:val="28"/>
                <w:szCs w:val="28"/>
              </w:rPr>
              <w:t xml:space="preserve">2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3510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старше трудоспособного возраста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241</w:t>
            </w:r>
            <w:r>
              <w:rPr>
                <w:sz w:val="28"/>
                <w:szCs w:val="28"/>
              </w:rPr>
              <w:t xml:space="preserve">7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</w:t>
            </w:r>
            <w:r>
              <w:rPr>
                <w:sz w:val="28"/>
                <w:szCs w:val="28"/>
              </w:rPr>
              <w:t xml:space="preserve"> 749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8 166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693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25,</w:t>
            </w:r>
            <w:r>
              <w:rPr>
                <w:sz w:val="28"/>
                <w:szCs w:val="28"/>
              </w:rPr>
              <w:t xml:space="preserve">3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ind w:firstLine="720"/>
      </w:pPr>
      <w:r>
        <w:t xml:space="preserve">* по данным переписи населения 2010 года численность населения Чернянского района – 32 647 человек</w:t>
      </w:r>
      <w:r/>
    </w:p>
    <w:p>
      <w:pPr>
        <w:ind w:firstLine="720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firstLine="72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 структуре населения МО наибольший удельный вес 58,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% приходится на трудоспособное население. В муниципальном образовании население старше трудоспособного возраста превышает население моложе трудоспособного возраста в 1,5 раза. На 100 человек трудоспособного </w:t>
      </w:r>
      <w:r>
        <w:rPr>
          <w:sz w:val="28"/>
          <w:szCs w:val="28"/>
        </w:rPr>
        <w:t xml:space="preserve">возра</w:t>
      </w:r>
      <w:r>
        <w:rPr>
          <w:sz w:val="28"/>
          <w:szCs w:val="28"/>
        </w:rPr>
        <w:t xml:space="preserve">ста приходится 72</w:t>
      </w:r>
      <w:r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в возрасте моложе и старше трудоспособного возраста.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Средний возраст жителей  составил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40,9 года, в том числе мужчин – 38,0 лет, женщин – 43,3 года. Превышение среднего возраста ж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нщин над средним возрастом мужчин составило 5,3 года.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Для улучшения  демографической ситуации в муниципалитете  проводится большая работа по поддержке семей с детьми, направленная на их материальную</w:t>
      </w:r>
      <w:r>
        <w:rPr>
          <w:sz w:val="28"/>
          <w:szCs w:val="28"/>
        </w:rPr>
        <w:t xml:space="preserve"> поддержку, повышение статуса семьи, увеличение рождаемости: выплачивается единовременное пособие при рождении ребенка, производятся выплаты ежемесячного пособия женщинам, имеющим ребенка в возрасте до 1,5 лет, </w:t>
      </w:r>
      <w:r>
        <w:rPr>
          <w:sz w:val="28"/>
          <w:szCs w:val="28"/>
        </w:rPr>
        <w:t xml:space="preserve">организовано бесплатное питание учащихся из многодетных семей, многодетным семьям предоставляется 50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 льгота по оплате коммунальных услуг. Кроме того, реализуются программы по поддержке молодых семей в приобретении жилья - «Обеспечение жильем молодых семей Чернянского района», а также федеральная целевая программа «Социальное развитие села».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базе отдела ЗАГС  действует Семейно-консультати</w:t>
      </w:r>
      <w:r>
        <w:rPr>
          <w:sz w:val="28"/>
          <w:szCs w:val="28"/>
        </w:rPr>
        <w:t xml:space="preserve">вный центр и комиссия по предупреждению распада семей, работа которых направлена на повышение эффективности взаимодействия всех заинтересованных служб в решении вопросов, направленных на укрепление авторитета семьи, снижение количества расторгаемых браков.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1.2.2. Уровень жизни населения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Одним из основных критериев уровня жизни населения является среднемесячная номинальная начисленная заработная плата.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right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  <w:r>
        <w:rPr>
          <w:color w:val="ff0000"/>
        </w:rPr>
      </w:r>
    </w:p>
    <w:p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</w:t>
      </w:r>
      <w:r>
        <w:rPr>
          <w:i/>
          <w:color w:val="000000"/>
          <w:sz w:val="28"/>
          <w:szCs w:val="28"/>
        </w:rPr>
        <w:t xml:space="preserve">4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Динамика среднемесячной номинальной начисленной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заработной платы в МО 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(рублей)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tbl>
      <w:tblPr>
        <w:tblW w:w="10206" w:type="dxa"/>
        <w:tblInd w:w="-318" w:type="dxa"/>
        <w:tblLook w:val="0000" w:firstRow="0" w:lastRow="0" w:firstColumn="0" w:lastColumn="0" w:noHBand="0" w:noVBand="0"/>
      </w:tblPr>
      <w:tblGrid>
        <w:gridCol w:w="1981"/>
        <w:gridCol w:w="770"/>
        <w:gridCol w:w="736"/>
        <w:gridCol w:w="770"/>
        <w:gridCol w:w="736"/>
        <w:gridCol w:w="736"/>
        <w:gridCol w:w="736"/>
        <w:gridCol w:w="736"/>
        <w:gridCol w:w="736"/>
        <w:gridCol w:w="736"/>
        <w:gridCol w:w="736"/>
        <w:gridCol w:w="797"/>
      </w:tblGrid>
      <w:tr>
        <w:tblPrEx/>
        <w:trPr>
          <w:cantSplit/>
          <w:trHeight w:val="255"/>
          <w:tblHeader/>
        </w:trPr>
        <w:tc>
          <w:tcPr>
            <w:tcBorders>
              <w:top w:val="single" w:color="auto" w:sz="8" w:space="0"/>
              <w:left w:val="single" w:color="auto" w:sz="8" w:space="0"/>
              <w:bottom w:val="none" w:color="000000" w:sz="4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 xml:space="preserve">Виды экономической деятельности 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tcW w:w="1506" w:type="dxa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 xml:space="preserve">200</w:t>
            </w:r>
            <w:r>
              <w:rPr>
                <w:b/>
                <w:bCs/>
                <w:sz w:val="20"/>
              </w:rPr>
              <w:t xml:space="preserve">7</w:t>
            </w:r>
            <w:r>
              <w:rPr>
                <w:b/>
                <w:bCs/>
                <w:sz w:val="20"/>
              </w:rPr>
              <w:t xml:space="preserve"> год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tcW w:w="1506" w:type="dxa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 xml:space="preserve">2008</w:t>
            </w:r>
            <w:r>
              <w:rPr>
                <w:b/>
                <w:bCs/>
                <w:sz w:val="20"/>
              </w:rPr>
              <w:t xml:space="preserve"> год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tcW w:w="1472" w:type="dxa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 xml:space="preserve">2009</w:t>
            </w:r>
            <w:r>
              <w:rPr>
                <w:b/>
                <w:bCs/>
                <w:sz w:val="20"/>
              </w:rPr>
              <w:t xml:space="preserve"> год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2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tcW w:w="1472" w:type="dxa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 xml:space="preserve">2010</w:t>
            </w:r>
            <w:r>
              <w:rPr>
                <w:b/>
                <w:bCs/>
                <w:sz w:val="20"/>
              </w:rPr>
              <w:t xml:space="preserve"> год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gridSpan w:val="3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tcW w:w="2269" w:type="dxa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2011 год</w: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</w:r>
          </w:p>
        </w:tc>
      </w:tr>
      <w:tr>
        <w:tblPrEx/>
        <w:trPr>
          <w:trHeight w:val="1380"/>
          <w:tblHeader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 xml:space="preserve"> 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textDirection w:val="btLr"/>
            <w:noWrap w:val="false"/>
          </w:tcPr>
          <w:p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 xml:space="preserve">МО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textDirection w:val="btLr"/>
            <w:noWrap w:val="false"/>
          </w:tcPr>
          <w:p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 xml:space="preserve">Область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textDirection w:val="btLr"/>
            <w:noWrap w:val="false"/>
          </w:tcPr>
          <w:p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 xml:space="preserve">МО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textDirection w:val="btLr"/>
            <w:noWrap w:val="false"/>
          </w:tcPr>
          <w:p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 xml:space="preserve">Область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textDirection w:val="btLr"/>
            <w:noWrap w:val="false"/>
          </w:tcPr>
          <w:p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 xml:space="preserve">МО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textDirection w:val="btLr"/>
            <w:noWrap w:val="false"/>
          </w:tcPr>
          <w:p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 xml:space="preserve">Область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textDirection w:val="btLr"/>
            <w:noWrap w:val="false"/>
          </w:tcPr>
          <w:p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 xml:space="preserve">МО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textDirection w:val="btLr"/>
            <w:noWrap w:val="false"/>
          </w:tcPr>
          <w:p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 xml:space="preserve">Область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textDirection w:val="btLr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МО</w: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textDirection w:val="btLr"/>
            <w:noWrap w:val="false"/>
          </w:tcPr>
          <w:p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Область</w:t>
            </w:r>
            <w:r>
              <w:rPr>
                <w:b/>
                <w:bCs/>
                <w:color w:val="000000"/>
                <w:sz w:val="20"/>
                <w:szCs w:val="20"/>
              </w:rPr>
            </w:r>
            <w:r>
              <w:rPr>
                <w:b/>
                <w:bCs/>
                <w:color w:val="000000"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textDirection w:val="btLr"/>
            <w:noWrap w:val="false"/>
          </w:tcPr>
          <w:p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Коэффициентсравнения</w:t>
            </w:r>
            <w:r>
              <w:rPr>
                <w:b/>
                <w:bCs/>
                <w:color w:val="000000"/>
                <w:sz w:val="20"/>
              </w:rPr>
              <w:t xml:space="preserve"> (МО/область)</w:t>
            </w:r>
            <w:r>
              <w:rPr>
                <w:b/>
                <w:bCs/>
                <w:color w:val="ff0000"/>
                <w:sz w:val="20"/>
                <w:szCs w:val="20"/>
              </w:rPr>
            </w:r>
            <w:r>
              <w:rPr>
                <w:b/>
                <w:bCs/>
                <w:color w:val="ff0000"/>
                <w:sz w:val="20"/>
                <w:szCs w:val="20"/>
              </w:rPr>
            </w:r>
          </w:p>
        </w:tc>
      </w:tr>
      <w:tr>
        <w:tblPrEx/>
        <w:trPr>
          <w:trHeight w:val="52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t xml:space="preserve">Всего в экономике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7477,4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10874,3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9721,0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13958,6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11440</w:t>
            </w:r>
            <w:r>
              <w:rPr>
                <w:sz w:val="16"/>
                <w:szCs w:val="16"/>
              </w:rPr>
              <w:t xml:space="preserve">,</w:t>
            </w:r>
            <w:r>
              <w:rPr>
                <w:sz w:val="16"/>
                <w:szCs w:val="16"/>
                <w:lang w:val="en-US"/>
              </w:rPr>
              <w:t xml:space="preserve">4</w:t>
            </w:r>
            <w:r>
              <w:rPr>
                <w:sz w:val="16"/>
                <w:szCs w:val="16"/>
                <w:lang w:val="en-US"/>
              </w:rPr>
            </w:r>
            <w:r>
              <w:rPr>
                <w:sz w:val="16"/>
                <w:szCs w:val="16"/>
                <w:lang w:val="en-US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14674,2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12076,7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16410,8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14306,9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18778,8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0,76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19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Темп роста к предыдущему году,</w:t>
            </w:r>
            <w:r>
              <w:rPr>
                <w:sz w:val="20"/>
              </w:rPr>
              <w:t xml:space="preserve">%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131,3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124,9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130,0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128,4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117,7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105,1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105,6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111,8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118,5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114,4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69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Сельское хозяйство, охота и лесное хозяйство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6794,2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7733,5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10258,3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11110,5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11363,2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12969,8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</w:t>
            </w:r>
            <w:r>
              <w:rPr>
                <w:sz w:val="16"/>
                <w:szCs w:val="16"/>
              </w:rPr>
              <w:t xml:space="preserve">797,7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14563,2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18898,5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17996,6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1,05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38"/>
        </w:trPr>
        <w:tc>
          <w:tcPr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Темп роста к предыдущему году,</w:t>
            </w:r>
            <w:r>
              <w:rPr>
                <w:sz w:val="20"/>
              </w:rPr>
              <w:t xml:space="preserve">%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135,6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136,5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151,0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143,7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110,8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116,7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121,4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112,3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137,7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123,6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31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Обрабатывающие производства 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9297,5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12795,5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9533,3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15696,5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13140,6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15960,7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14081,9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18344,0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15585,3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20831,1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0,75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11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Темп роста к предыдущему году,</w:t>
            </w:r>
            <w:r>
              <w:rPr>
                <w:sz w:val="20"/>
              </w:rPr>
              <w:t xml:space="preserve">%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123,8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121,9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102,5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122,7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137,8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101,7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107,2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114,9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110,7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113,6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86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Производство и распределение электроэнергии, газа и воды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10869,9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13480,8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12579,7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16157,8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15986,4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19109,7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16228,1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20817,8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18018,6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23092,5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0,78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467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Темп роста к предыдущему году,</w:t>
            </w:r>
            <w:r>
              <w:rPr>
                <w:sz w:val="20"/>
              </w:rPr>
              <w:t xml:space="preserve">%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177,4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120,3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115,7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119,9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127,1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118,3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101,5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108,9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111,0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110,9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351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Строительство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12877,2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13931,0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15145,9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16981,6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7077,3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14226,0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11141,1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17829,5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19435,3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21585,1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0,90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27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Темп роста к предыдущему году,</w:t>
            </w:r>
            <w:r>
              <w:rPr>
                <w:sz w:val="20"/>
              </w:rPr>
              <w:t xml:space="preserve">%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120,6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137,2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117,6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121,9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46,7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83,8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157,4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125,3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174,4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121,1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1406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Оптовая и розничная торговля, ремонт автотранспорта, мотоциклов, бытовых изделий и предметов личного пользования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7933,3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9819,3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9377,8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12906,6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13537,7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13759,3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10271,4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16130,4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10293,4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17004,4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0,61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19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Темп роста к предыдущему году,</w:t>
            </w:r>
            <w:r>
              <w:rPr>
                <w:sz w:val="20"/>
              </w:rPr>
              <w:t xml:space="preserve">%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106,6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127,4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118,2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131,4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144,4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106,6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75,9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117,2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100,2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105,4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27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Гостиницы и рестораны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5322,1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6389,8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7035,2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8021,8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7652,7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8866,0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8962,6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10423,6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9553,3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11563,7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0,83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21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Темп роста к предыдущему году,</w:t>
            </w:r>
            <w:r>
              <w:rPr>
                <w:sz w:val="20"/>
              </w:rPr>
              <w:t xml:space="preserve">%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143,1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129,3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132,2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125,5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108,8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110,5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117,1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117,6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106,6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110,9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33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Транспорт и связь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8364,4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11482,6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7337,7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16613,5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9444,7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15573,7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10649,7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18512,5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10656,2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20188,3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0,53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2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Темп роста к предыдущему году,</w:t>
            </w:r>
            <w:r>
              <w:rPr>
                <w:sz w:val="20"/>
              </w:rPr>
              <w:t xml:space="preserve">%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131,8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119,1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87,7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144,7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128,7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93,7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112,8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118,9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100,1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109,1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19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Финансовая деятельность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13774,1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23882,8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15051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27448,6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17283,7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27440,7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18088,3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33395,9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19565,3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37942,6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0,52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13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Темп роста к предыдущему году,</w:t>
            </w:r>
            <w:r>
              <w:rPr>
                <w:sz w:val="20"/>
              </w:rPr>
              <w:t xml:space="preserve">%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-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135,3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109,3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114,9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114,8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100,0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104,7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121,7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108,2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113,6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881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Операции с недвижимым имуществом, аренда и предоставление услуг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7411,9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12632,4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10992,0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15986,2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12120,9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16259,6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12637,6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17345,5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14758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19335,8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0,76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469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Темп роста к предыдущему году,</w:t>
            </w:r>
            <w:r>
              <w:rPr>
                <w:sz w:val="20"/>
              </w:rPr>
              <w:t xml:space="preserve">%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171,0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132,6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148,3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126,5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110,3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101,7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104,3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106,7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116,8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111,5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</w:r>
            <w:r>
              <w:rPr>
                <w:color w:val="ff0000"/>
                <w:sz w:val="16"/>
                <w:szCs w:val="16"/>
              </w:rPr>
            </w:r>
            <w:r>
              <w:rPr>
                <w:color w:val="ff0000"/>
                <w:sz w:val="16"/>
                <w:szCs w:val="16"/>
              </w:rPr>
            </w:r>
          </w:p>
        </w:tc>
      </w:tr>
      <w:tr>
        <w:tblPrEx/>
        <w:trPr>
          <w:trHeight w:val="1597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Государственное управление и обеспечение военной безопасности; обязательное социальное обеспечение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9794,3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13526,3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14309,6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17586,7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15660,5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18731,8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16032,8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19865,8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18179,2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22162,0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0,82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15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Темп роста к предыдущему году,</w:t>
            </w:r>
            <w:r>
              <w:rPr>
                <w:sz w:val="20"/>
              </w:rPr>
              <w:t xml:space="preserve">%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127,8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134,3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146,1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130,0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109,4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106,5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102,4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106,1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113,4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111,6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330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Образование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5543,8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6536,0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8019,8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9467,1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9726,5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11306,0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9637,2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11646,8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10406,3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13082,0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0,80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34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Темп роста к предыдущему году,</w:t>
            </w:r>
            <w:r>
              <w:rPr>
                <w:sz w:val="20"/>
              </w:rPr>
              <w:t xml:space="preserve">%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128,0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123,1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144,7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144,8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121,3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119,4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99,1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103,0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108,0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112,3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698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Здравоохранение и предоставление социальных услуг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5229,6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7060,4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7217,3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9242,1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8636,1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9933,5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8790,6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10283,2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9685,8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12436,0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0,78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38"/>
        </w:trPr>
        <w:tc>
          <w:tcPr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Темп роста к предыдущему году,</w:t>
            </w:r>
            <w:r>
              <w:rPr>
                <w:sz w:val="20"/>
              </w:rPr>
              <w:t xml:space="preserve">%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125,0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124,1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138,0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130,9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119,7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107,5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101,8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103,5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110,2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120,9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single" w:color="auto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1250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Предоставление прочих коммунальных, социальных и персональных услуг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4259,8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6346,3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5778,6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8429,0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6773,2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9818,2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7450,4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10061,7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9015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11792,6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0,76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  <w:tr>
        <w:tblPrEx/>
        <w:trPr>
          <w:trHeight w:val="503"/>
        </w:trPr>
        <w:tc>
          <w:tcPr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W w:w="1981" w:type="dxa"/>
            <w:textDirection w:val="lrTb"/>
            <w:noWrap w:val="false"/>
          </w:tcPr>
          <w:p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Темп роста к предыдущему году,</w:t>
            </w:r>
            <w:r>
              <w:rPr>
                <w:sz w:val="20"/>
              </w:rPr>
              <w:t xml:space="preserve">%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162,6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120,7  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70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135,7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132,8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117,2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116,5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110,0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102,5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121,0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shd w:val="clear" w:color="auto" w:fill="ffffff"/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36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117,2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8" w:space="0"/>
              <w:right w:val="single" w:color="auto" w:sz="8" w:space="0"/>
            </w:tcBorders>
            <w:tcW w:w="797" w:type="dxa"/>
            <w:vAlign w:val="bottom"/>
            <w:textDirection w:val="lrTb"/>
            <w:noWrap w:val="false"/>
          </w:tcPr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</w:tc>
      </w:tr>
    </w:tbl>
    <w:p>
      <w:pPr>
        <w:ind w:firstLine="708"/>
        <w:jc w:val="both"/>
        <w:rPr>
          <w:color w:val="000000"/>
        </w:rPr>
      </w:pPr>
      <w:r>
        <w:rPr>
          <w:color w:val="000000"/>
        </w:rPr>
        <w:t xml:space="preserve">*по данным </w:t>
      </w:r>
      <w:r>
        <w:rPr>
          <w:color w:val="000000"/>
        </w:rPr>
        <w:t xml:space="preserve">Белгородстата</w:t>
      </w:r>
      <w:r>
        <w:rPr>
          <w:color w:val="000000"/>
        </w:rPr>
      </w:r>
      <w:r>
        <w:rPr>
          <w:color w:val="000000"/>
        </w:rPr>
      </w:r>
    </w:p>
    <w:p>
      <w:pPr>
        <w:ind w:firstLine="708"/>
        <w:jc w:val="both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</w:p>
    <w:p>
      <w:pPr>
        <w:ind w:firstLine="708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В целях улучшения благосостояния населения проводится целенаправленная работа по повышению заработной платы.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Среднемесячная начисленная заработная плата в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2011 году по сравнению с 2007 годом выросла в 1,9 раза и составила 14 306,9 рубль, но ниже </w:t>
      </w:r>
      <w:r>
        <w:rPr>
          <w:color w:val="000000"/>
          <w:sz w:val="28"/>
          <w:szCs w:val="28"/>
        </w:rPr>
        <w:t xml:space="preserve">аналогичного </w:t>
      </w:r>
      <w:r>
        <w:rPr>
          <w:color w:val="000000"/>
          <w:sz w:val="28"/>
          <w:szCs w:val="28"/>
        </w:rPr>
        <w:t xml:space="preserve">показателя</w:t>
      </w:r>
      <w:r>
        <w:rPr>
          <w:color w:val="000000"/>
          <w:sz w:val="28"/>
          <w:szCs w:val="28"/>
        </w:rPr>
        <w:t xml:space="preserve"> области на 23</w:t>
      </w:r>
      <w:r>
        <w:rPr>
          <w:color w:val="000000"/>
          <w:sz w:val="28"/>
          <w:szCs w:val="28"/>
        </w:rPr>
        <w:t xml:space="preserve">,8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процентов</w:t>
      </w:r>
      <w:r>
        <w:rPr>
          <w:color w:val="000000"/>
          <w:sz w:val="28"/>
          <w:szCs w:val="28"/>
        </w:rPr>
        <w:t xml:space="preserve">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Наиболее </w:t>
      </w:r>
      <w:r>
        <w:rPr>
          <w:sz w:val="28"/>
          <w:szCs w:val="28"/>
        </w:rPr>
        <w:t xml:space="preserve">быстрый рост оплаты труда с 2007 по 2011 годы наблюдался по видам деятельности: «Сельское хозяйство» </w:t>
      </w: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 2,8 раза, «Операции с недвижимым имуществом, аренда и предоставление услуг» </w:t>
      </w: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 2,0 раза, «Образование» </w:t>
      </w: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 1,9 раза, что свидетельствует о более быстрых темпах роста производства в этих отраслях.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Сохраняется дифференциация заработной платы между видами экономической деятельности. Так, в 2011 году самый высокий уровень среднемесячной номинальной начисленной заработн</w:t>
      </w:r>
      <w:r>
        <w:rPr>
          <w:sz w:val="28"/>
          <w:szCs w:val="28"/>
        </w:rPr>
        <w:t xml:space="preserve">ой платы составил </w:t>
      </w: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19 565,3 рублей по виду экономической деятельности «Финансовая деятельность», 19 435,3 рублей </w:t>
      </w: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по виду деятельности «Строительство», а </w:t>
      </w:r>
      <w:r>
        <w:rPr>
          <w:sz w:val="28"/>
          <w:szCs w:val="28"/>
        </w:rPr>
        <w:t xml:space="preserve">самый низкий </w:t>
      </w: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9 015 рублей – в «Предоставлении прочих коммунальных, социальных и персональных услуг».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7"/>
        <w:rPr>
          <w:color w:val="000000"/>
          <w:szCs w:val="28"/>
        </w:rPr>
      </w:pPr>
      <w:r>
        <w:rPr>
          <w:color w:val="000000"/>
          <w:szCs w:val="28"/>
        </w:rPr>
        <w:t xml:space="preserve">На </w:t>
      </w:r>
      <w:r>
        <w:rPr>
          <w:color w:val="000000"/>
          <w:szCs w:val="28"/>
        </w:rPr>
        <w:t xml:space="preserve">0</w:t>
      </w:r>
      <w:r>
        <w:rPr>
          <w:color w:val="000000"/>
          <w:szCs w:val="28"/>
        </w:rPr>
        <w:t xml:space="preserve">1.01.2012 года три предприятия производственной сферы деятельности </w:t>
      </w:r>
      <w:r>
        <w:rPr>
          <w:color w:val="000000"/>
          <w:szCs w:val="28"/>
        </w:rPr>
        <w:t xml:space="preserve">(</w:t>
      </w:r>
      <w:r>
        <w:rPr>
          <w:color w:val="000000"/>
          <w:szCs w:val="28"/>
        </w:rPr>
        <w:t xml:space="preserve">МУП «</w:t>
      </w:r>
      <w:r>
        <w:rPr>
          <w:color w:val="000000"/>
          <w:szCs w:val="28"/>
        </w:rPr>
        <w:t xml:space="preserve">Ремводстрой</w:t>
      </w:r>
      <w:r>
        <w:rPr>
          <w:color w:val="000000"/>
          <w:szCs w:val="28"/>
        </w:rPr>
        <w:t xml:space="preserve">», МУП «Благоустройство и озеленение», </w:t>
      </w:r>
      <w:r>
        <w:rPr>
          <w:color w:val="000000"/>
          <w:szCs w:val="28"/>
        </w:rPr>
        <w:t xml:space="preserve">МУП «Тепловик»</w:t>
      </w:r>
      <w:r>
        <w:rPr>
          <w:color w:val="000000"/>
          <w:szCs w:val="28"/>
        </w:rPr>
        <w:t xml:space="preserve">) -</w:t>
      </w:r>
      <w:r>
        <w:rPr>
          <w:color w:val="000000"/>
          <w:szCs w:val="28"/>
        </w:rPr>
        <w:t xml:space="preserve"> с уровнем средней заработной платы менее 9 500 </w:t>
      </w:r>
      <w:r>
        <w:rPr>
          <w:color w:val="000000"/>
          <w:szCs w:val="28"/>
        </w:rPr>
        <w:t xml:space="preserve"> руб</w:t>
      </w:r>
      <w:r>
        <w:rPr>
          <w:color w:val="000000"/>
          <w:szCs w:val="28"/>
        </w:rPr>
        <w:t xml:space="preserve">.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10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Задолженности у предприятий муниципального образования по выплате заработной платы по состоянию на 01.01.2012 года не имелось.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</w:t>
      </w:r>
      <w:r>
        <w:rPr>
          <w:i/>
          <w:color w:val="000000"/>
          <w:sz w:val="28"/>
          <w:szCs w:val="28"/>
        </w:rPr>
        <w:t xml:space="preserve">5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Показатели уровня жизни населения  </w:t>
      </w:r>
      <w:r>
        <w:rPr>
          <w:b/>
          <w:color w:val="000000"/>
          <w:sz w:val="28"/>
          <w:szCs w:val="28"/>
        </w:rPr>
        <w:t xml:space="preserve">в МО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(рублей)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tbl>
      <w:tblPr>
        <w:tblW w:w="10425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709"/>
        <w:gridCol w:w="709"/>
        <w:gridCol w:w="708"/>
        <w:gridCol w:w="709"/>
        <w:gridCol w:w="851"/>
        <w:gridCol w:w="708"/>
        <w:gridCol w:w="783"/>
        <w:gridCol w:w="720"/>
        <w:gridCol w:w="720"/>
        <w:gridCol w:w="780"/>
        <w:gridCol w:w="825"/>
      </w:tblGrid>
      <w:tr>
        <w:tblPrEx/>
        <w:trPr>
          <w:cantSplit/>
          <w:trHeight w:val="266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03" w:type="dxa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Показатели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8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2007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2008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59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2009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503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2010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325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2011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cantSplit/>
          <w:trHeight w:val="1657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03" w:type="dxa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МО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область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МО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область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МО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область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МО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область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МО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0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область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5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Коэффициент сравнения (МО/область)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03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Величина прожиточного минимума в среднем на душу населения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3200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3202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  <w:lang w:val="en-US"/>
              </w:rPr>
              <w:t xml:space="preserve">372</w:t>
            </w:r>
            <w:r>
              <w:rPr>
                <w:color w:val="000000"/>
                <w:sz w:val="15"/>
              </w:rPr>
              <w:t xml:space="preserve">7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3742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  <w:lang w:val="en-US"/>
              </w:rPr>
              <w:t xml:space="preserve">4159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4167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4534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4559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4949,8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4959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0,998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03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Величина прожиточного минимума трудоспособного населения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3500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3445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4037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4037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4501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4479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4906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4892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5371,2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5336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1,0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03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Величина прожиточного минимума пенсионеров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2588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2543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2981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2973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3362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3352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3667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3689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3994,8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3996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</w:rPr>
            </w:pPr>
            <w:r>
              <w:rPr>
                <w:color w:val="000000"/>
                <w:sz w:val="15"/>
              </w:rPr>
              <w:t xml:space="preserve">0,999</w:t>
            </w:r>
            <w:r>
              <w:rPr>
                <w:color w:val="000000"/>
                <w:sz w:val="15"/>
              </w:rPr>
            </w:r>
            <w:r>
              <w:rPr>
                <w:color w:val="000000"/>
                <w:sz w:val="15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03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</w:rPr>
              <w:t xml:space="preserve">Среднемесячная номинальная начисленная заработная плата работников предприятий и организаций</w:t>
            </w:r>
            <w:r/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7477,4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10874,3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9721,0</w:t>
            </w:r>
            <w:r>
              <w:rPr>
                <w:sz w:val="15"/>
                <w:szCs w:val="15"/>
              </w:rPr>
            </w:r>
            <w:r>
              <w:rPr>
                <w:sz w:val="15"/>
                <w:szCs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13958,6</w:t>
            </w:r>
            <w:r>
              <w:rPr>
                <w:sz w:val="15"/>
                <w:szCs w:val="15"/>
              </w:rPr>
            </w:r>
            <w:r>
              <w:rPr>
                <w:sz w:val="15"/>
                <w:szCs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  <w:szCs w:val="15"/>
                <w:lang w:val="en-US"/>
              </w:rPr>
            </w:pPr>
            <w:r>
              <w:rPr>
                <w:sz w:val="15"/>
                <w:szCs w:val="15"/>
                <w:lang w:val="en-US"/>
              </w:rPr>
              <w:t xml:space="preserve">11440</w:t>
            </w:r>
            <w:r>
              <w:rPr>
                <w:sz w:val="15"/>
                <w:szCs w:val="15"/>
              </w:rPr>
              <w:t xml:space="preserve">,</w:t>
            </w:r>
            <w:r>
              <w:rPr>
                <w:sz w:val="15"/>
                <w:szCs w:val="15"/>
                <w:lang w:val="en-US"/>
              </w:rPr>
              <w:t xml:space="preserve">4</w:t>
            </w:r>
            <w:r>
              <w:rPr>
                <w:sz w:val="15"/>
                <w:szCs w:val="15"/>
                <w:lang w:val="en-US"/>
              </w:rPr>
            </w:r>
            <w:r>
              <w:rPr>
                <w:sz w:val="15"/>
                <w:szCs w:val="15"/>
                <w:lang w:val="en-US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14674,2</w:t>
            </w:r>
            <w:r>
              <w:rPr>
                <w:sz w:val="15"/>
                <w:szCs w:val="15"/>
              </w:rPr>
            </w:r>
            <w:r>
              <w:rPr>
                <w:sz w:val="15"/>
                <w:szCs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  <w:lang w:val="en-US"/>
              </w:rPr>
              <w:t xml:space="preserve">12</w:t>
            </w:r>
            <w:r>
              <w:rPr>
                <w:sz w:val="15"/>
                <w:szCs w:val="15"/>
              </w:rPr>
              <w:t xml:space="preserve">076,7</w:t>
            </w:r>
            <w:r>
              <w:rPr>
                <w:sz w:val="15"/>
                <w:szCs w:val="15"/>
              </w:rPr>
            </w:r>
            <w:r>
              <w:rPr>
                <w:sz w:val="15"/>
                <w:szCs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16410,8</w:t>
            </w:r>
            <w:r>
              <w:rPr>
                <w:sz w:val="15"/>
                <w:szCs w:val="15"/>
              </w:rPr>
            </w:r>
            <w:r>
              <w:rPr>
                <w:sz w:val="15"/>
                <w:szCs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14306,9</w:t>
            </w:r>
            <w:r>
              <w:rPr>
                <w:sz w:val="15"/>
                <w:szCs w:val="15"/>
              </w:rPr>
            </w:r>
            <w:r>
              <w:rPr>
                <w:sz w:val="15"/>
                <w:szCs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18778,8</w:t>
            </w:r>
            <w:r>
              <w:rPr>
                <w:sz w:val="15"/>
                <w:szCs w:val="15"/>
              </w:rPr>
            </w:r>
            <w:r>
              <w:rPr>
                <w:sz w:val="15"/>
                <w:szCs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0,76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03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</w:rPr>
              <w:t xml:space="preserve">Уровень покупательной способности среднемесячной номинальной начисленной заработной платы (ПС СННЗП)</w:t>
            </w:r>
            <w:r/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2,1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3,2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2,4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3,5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2,5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3,3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2,5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3,4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2,7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3,5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0,77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203" w:type="dxa"/>
            <w:vAlign w:val="center"/>
            <w:textDirection w:val="lrTb"/>
            <w:noWrap w:val="false"/>
          </w:tcPr>
          <w:p>
            <w:r>
              <w:rPr>
                <w:sz w:val="22"/>
              </w:rPr>
              <w:t xml:space="preserve">Темп роста ПС СННЗП,</w:t>
            </w:r>
            <w:r>
              <w:rPr>
                <w:sz w:val="22"/>
              </w:rPr>
              <w:t xml:space="preserve">%</w:t>
            </w:r>
            <w:r/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110,5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114,3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114,3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109,4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5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104,2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94,3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3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100,0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103,0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shd w:val="clear" w:color="auto" w:fill="e0e0e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108,0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102,9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5"/>
              </w:rPr>
            </w:pPr>
            <w:r>
              <w:rPr>
                <w:sz w:val="15"/>
              </w:rPr>
              <w:t xml:space="preserve">-</w:t>
            </w:r>
            <w:r>
              <w:rPr>
                <w:sz w:val="15"/>
              </w:rPr>
            </w:r>
            <w:r>
              <w:rPr>
                <w:sz w:val="15"/>
              </w:rPr>
            </w:r>
          </w:p>
        </w:tc>
      </w:tr>
    </w:tbl>
    <w:p>
      <w:pPr>
        <w:jc w:val="right"/>
        <w:rPr>
          <w:b/>
          <w:color w:val="ff0000"/>
        </w:rPr>
      </w:pPr>
      <w:r>
        <w:rPr>
          <w:b/>
          <w:color w:val="ff0000"/>
        </w:rPr>
      </w:r>
      <w:r>
        <w:rPr>
          <w:b/>
          <w:color w:val="ff0000"/>
        </w:rPr>
      </w:r>
      <w:r>
        <w:rPr>
          <w:b/>
          <w:color w:val="ff0000"/>
        </w:rPr>
      </w:r>
    </w:p>
    <w:p>
      <w:pPr>
        <w:pStyle w:val="1045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Величина прожиточного минимума в среднем на душу населения в            2011 году по сравнению с 2007 годом выросла по</w:t>
      </w:r>
      <w:r>
        <w:rPr>
          <w:color w:val="000000"/>
          <w:sz w:val="28"/>
          <w:szCs w:val="28"/>
        </w:rPr>
        <w:t xml:space="preserve"> району в 1,5 раза и </w:t>
      </w:r>
      <w:r>
        <w:rPr>
          <w:color w:val="000000"/>
          <w:sz w:val="28"/>
          <w:szCs w:val="28"/>
        </w:rPr>
        <w:t xml:space="preserve">составила 4 949,8 рубля, что соответствует уровню данного показателя по области. 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Уровень покупательной способности среднемесячной номинальной </w:t>
      </w:r>
      <w:r>
        <w:rPr>
          <w:sz w:val="28"/>
          <w:szCs w:val="28"/>
        </w:rPr>
        <w:t xml:space="preserve">начисленной заработной платы в 2011 году составил 2,7, что выше уровня             2007 года на 28,6%, но ниже аналогичного областного показателя на 22,9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процента</w:t>
      </w:r>
      <w:r>
        <w:rPr>
          <w:sz w:val="28"/>
          <w:szCs w:val="28"/>
        </w:rPr>
        <w:t xml:space="preserve">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улучшения благосостояния населения в районе проводится целенаправленная работа по повышению заработной платы, ликвидации и недопущению задолженности по ее выплате.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1.2.3. Социальная защита населения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муни</w:t>
      </w:r>
      <w:r>
        <w:rPr>
          <w:sz w:val="28"/>
          <w:szCs w:val="28"/>
        </w:rPr>
        <w:t xml:space="preserve">ципальном образовании в целях социальной защиты граждан осуществляются мероприятия социально-бытовой, материальной адресной помощи малообеспеченным и гражданам льготных категорий, а также контроль за предоставлением установленных льгот.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состав отдела социальной защиты населения входят 5 отделений социальной помощи, в которых работают 53 социальных работников, их услугами в надомных  условиях пользуются 477 одиноких пожилых человек.                   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47"/>
        <w:rPr>
          <w:color w:val="000000"/>
          <w:szCs w:val="28"/>
        </w:rPr>
      </w:pPr>
      <w:r>
        <w:rPr>
          <w:color w:val="000000"/>
          <w:szCs w:val="28"/>
        </w:rPr>
        <w:t xml:space="preserve">Важное место занимает оказание материальной помощи  малообеспеченным гр</w:t>
      </w:r>
      <w:r>
        <w:rPr>
          <w:color w:val="000000"/>
          <w:szCs w:val="28"/>
        </w:rPr>
        <w:t xml:space="preserve">ажданам. Реализуется программа  по социальной поддержке малообеспеченного населения, в соответствии с которой особо нуждающимся гражданам оказывается адресная  социальная помощь. В 2011 году адресную  материальную помощь получили 226 человек  на сумму 746 </w:t>
      </w:r>
      <w:r>
        <w:rPr>
          <w:color w:val="000000"/>
          <w:szCs w:val="28"/>
        </w:rPr>
        <w:t xml:space="preserve">тыс.</w:t>
      </w:r>
      <w:r>
        <w:rPr>
          <w:color w:val="000000"/>
          <w:szCs w:val="28"/>
        </w:rPr>
        <w:t xml:space="preserve"> руб.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1047"/>
        <w:rPr>
          <w:color w:val="000000"/>
          <w:szCs w:val="28"/>
        </w:rPr>
      </w:pPr>
      <w:r>
        <w:rPr>
          <w:color w:val="000000"/>
          <w:szCs w:val="28"/>
        </w:rPr>
        <w:t xml:space="preserve">В муниципальном образовании имеется  </w:t>
      </w:r>
      <w:r>
        <w:rPr>
          <w:color w:val="000000"/>
          <w:szCs w:val="28"/>
        </w:rPr>
        <w:t xml:space="preserve">Орликовский</w:t>
      </w:r>
      <w:r>
        <w:rPr>
          <w:color w:val="000000"/>
          <w:szCs w:val="28"/>
        </w:rPr>
        <w:t xml:space="preserve"> дом ветеранов  на 20 мест.</w:t>
      </w:r>
      <w:r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В 2011 году 14 одиноких граждан направлены  в дома-интернаты для одиноких и </w:t>
      </w:r>
      <w:r>
        <w:rPr>
          <w:color w:val="000000"/>
          <w:szCs w:val="28"/>
        </w:rPr>
        <w:t xml:space="preserve">ветеранов. </w:t>
      </w:r>
      <w:r>
        <w:rPr>
          <w:color w:val="000000"/>
          <w:szCs w:val="28"/>
        </w:rPr>
        <w:t xml:space="preserve">В</w:t>
      </w:r>
      <w:r>
        <w:rPr>
          <w:color w:val="000000"/>
          <w:szCs w:val="28"/>
        </w:rPr>
        <w:t xml:space="preserve"> областном государственном учреждении социального обслуживания системы социальной защиты населения стационарного типа «Геронтологический центр» Борисовского района в 2011 году получили санаторно-курортное лечение 21 ветеранов труда. 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МО действует социально-реабилитационный центр для несовершеннолетних с приютом, в котором проходили реабилитацию 57 детей</w:t>
      </w:r>
      <w:r>
        <w:rPr>
          <w:b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из них 50 детей возвращены в семьи, 2 - под опеку, оформлены в </w:t>
      </w:r>
      <w:r>
        <w:rPr>
          <w:color w:val="000000"/>
          <w:sz w:val="28"/>
          <w:szCs w:val="28"/>
        </w:rPr>
        <w:t xml:space="preserve">интернатные</w:t>
      </w:r>
      <w:r>
        <w:rPr>
          <w:color w:val="000000"/>
          <w:sz w:val="28"/>
          <w:szCs w:val="28"/>
        </w:rPr>
        <w:t xml:space="preserve"> учреждения - 1.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47"/>
        <w:tabs>
          <w:tab w:val="left" w:pos="3780" w:leader="none"/>
        </w:tabs>
        <w:rPr>
          <w:color w:val="000000"/>
          <w:szCs w:val="28"/>
        </w:rPr>
      </w:pPr>
      <w:r>
        <w:rPr>
          <w:color w:val="000000"/>
          <w:szCs w:val="28"/>
        </w:rPr>
        <w:t xml:space="preserve">В на территории муниципального образования проживают 290 многодетных семей, 394 неполные семьи</w:t>
      </w:r>
      <w:r>
        <w:rPr>
          <w:b/>
          <w:color w:val="000000"/>
          <w:szCs w:val="28"/>
        </w:rPr>
        <w:t xml:space="preserve">, </w:t>
      </w:r>
      <w:r>
        <w:rPr>
          <w:color w:val="000000"/>
          <w:szCs w:val="28"/>
        </w:rPr>
        <w:t xml:space="preserve">303 одиноких матерей и 266 семей, потерявших корм</w:t>
      </w:r>
      <w:r>
        <w:rPr>
          <w:color w:val="000000"/>
          <w:szCs w:val="28"/>
        </w:rPr>
        <w:t xml:space="preserve">ильца. Многодетным семьям предоставляются льготы в соответствии с Указом Президента Российской Федерации от 5 мая 1992 года № 431 «О мерах социальной поддержки многодетным семьям». Бесплатным школьным питанием обеспечиваются дети из малообеспеченных семей.</w:t>
      </w:r>
      <w:r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В 2011 году на обеспечение детей питанием, приобретение школьной и спортивной одежды было израсходовано  3551 </w:t>
      </w:r>
      <w:r>
        <w:rPr>
          <w:color w:val="000000"/>
          <w:szCs w:val="28"/>
        </w:rPr>
        <w:t xml:space="preserve">тыс.</w:t>
      </w:r>
      <w:r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рублей</w:t>
      </w:r>
      <w:r>
        <w:rPr>
          <w:color w:val="000000"/>
          <w:szCs w:val="28"/>
        </w:rPr>
        <w:t xml:space="preserve">.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Традиционно проводятся праздничные мероприятия, посвященные  Международному дню семьи, Дню матери, Дню защиты детей и другие.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МО зарегистрировано 103 </w:t>
      </w:r>
      <w:r>
        <w:rPr>
          <w:color w:val="000000"/>
          <w:sz w:val="28"/>
          <w:szCs w:val="28"/>
        </w:rPr>
        <w:t xml:space="preserve">ребенка</w:t>
      </w:r>
      <w:r>
        <w:rPr>
          <w:color w:val="000000"/>
          <w:sz w:val="28"/>
          <w:szCs w:val="28"/>
        </w:rPr>
        <w:t xml:space="preserve">-инвалид</w:t>
      </w:r>
      <w:r>
        <w:rPr>
          <w:color w:val="000000"/>
          <w:sz w:val="28"/>
          <w:szCs w:val="28"/>
        </w:rPr>
        <w:t xml:space="preserve">а</w:t>
      </w:r>
      <w:r>
        <w:rPr>
          <w:color w:val="000000"/>
          <w:sz w:val="28"/>
          <w:szCs w:val="28"/>
        </w:rPr>
        <w:t xml:space="preserve">. Серьезный</w:t>
      </w:r>
      <w:r>
        <w:rPr>
          <w:color w:val="000000"/>
          <w:sz w:val="28"/>
          <w:szCs w:val="28"/>
        </w:rPr>
        <w:t xml:space="preserve"> подход к вопросу  оздоровления детей-инвалидов и детей из малообеспеченных семей. Дети-инвалиды отдыхают и проходят курс лечения  на базе областных  реабилитационных центров, в санаториях «Дубравушка» и «Красиво».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стационарном лагере «Орбита»  оздоровлено 200 детей из малообеспеченных семей, </w:t>
      </w:r>
      <w:r>
        <w:rPr>
          <w:sz w:val="28"/>
          <w:szCs w:val="28"/>
        </w:rPr>
        <w:t xml:space="preserve">1 реб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нок-инвалид</w:t>
      </w:r>
      <w:r>
        <w:rPr>
          <w:color w:val="000000"/>
          <w:sz w:val="28"/>
          <w:szCs w:val="28"/>
        </w:rPr>
        <w:t xml:space="preserve"> – в санаториях «Красиво» и «Дубравушка», 14 детей-инвалидов с заболеванием опорно-двигательного аппарата прошли лечение в реабилитационном центре с. Веселая Лопань.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Нуждающимся семьям оказывается материальная и практическая помощь, разъясняются их права, условия предоставления льгот.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Анализ социального обеспечения и социальной помощи населения за 2007-2011 годы приведен в таблице </w:t>
      </w:r>
      <w:r>
        <w:rPr>
          <w:color w:val="000000"/>
          <w:sz w:val="28"/>
          <w:szCs w:val="28"/>
        </w:rPr>
        <w:t xml:space="preserve">6</w:t>
      </w:r>
      <w:r>
        <w:rPr>
          <w:color w:val="000000"/>
          <w:sz w:val="28"/>
          <w:szCs w:val="28"/>
        </w:rPr>
        <w:t xml:space="preserve">.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</w:t>
      </w:r>
      <w:r>
        <w:rPr>
          <w:i/>
          <w:color w:val="000000"/>
          <w:sz w:val="28"/>
          <w:szCs w:val="28"/>
        </w:rPr>
        <w:t xml:space="preserve">6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pStyle w:val="1005"/>
        <w:ind w:left="0"/>
        <w:spacing w:line="240" w:lineRule="auto"/>
        <w:rPr>
          <w:b/>
          <w:color w:val="000000"/>
          <w:szCs w:val="28"/>
        </w:rPr>
      </w:pPr>
      <w:r>
        <w:rPr>
          <w:b/>
          <w:color w:val="000000"/>
          <w:szCs w:val="28"/>
        </w:rPr>
        <w:t xml:space="preserve">Социальное обеспечение и социальная помощь </w:t>
      </w:r>
      <w:r>
        <w:rPr>
          <w:b/>
          <w:color w:val="000000"/>
          <w:szCs w:val="28"/>
        </w:rPr>
        <w:t xml:space="preserve">в МО</w:t>
      </w:r>
      <w:r>
        <w:rPr>
          <w:b/>
          <w:color w:val="000000"/>
          <w:szCs w:val="28"/>
        </w:rPr>
      </w:r>
      <w:r>
        <w:rPr>
          <w:b/>
          <w:color w:val="000000"/>
          <w:szCs w:val="28"/>
        </w:rPr>
      </w:r>
    </w:p>
    <w:p>
      <w:pPr>
        <w:ind w:firstLine="708"/>
        <w:jc w:val="center"/>
        <w:rPr>
          <w:b/>
          <w:color w:val="ff0000"/>
        </w:rPr>
      </w:pPr>
      <w:r>
        <w:rPr>
          <w:b/>
          <w:color w:val="ff0000"/>
        </w:rPr>
      </w:r>
      <w:r>
        <w:rPr>
          <w:b/>
          <w:color w:val="ff0000"/>
        </w:rPr>
      </w:r>
      <w:r>
        <w:rPr>
          <w:b/>
          <w:color w:val="ff0000"/>
        </w:rPr>
      </w:r>
    </w:p>
    <w:tbl>
      <w:tblPr>
        <w:tblW w:w="952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190"/>
        <w:gridCol w:w="1066"/>
        <w:gridCol w:w="1066"/>
        <w:gridCol w:w="1067"/>
        <w:gridCol w:w="1066"/>
        <w:gridCol w:w="1067"/>
      </w:tblGrid>
      <w:tr>
        <w:tblPrEx/>
        <w:trPr>
          <w:trHeight w:val="506"/>
          <w:tblHeader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0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Показатели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2007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2008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2009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2010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2011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000000"/>
                <w:sz w:val="22"/>
              </w:rPr>
              <w:t xml:space="preserve">год</w:t>
            </w:r>
            <w:r>
              <w:rPr>
                <w:b/>
                <w:color w:val="ff0000"/>
              </w:rPr>
            </w:r>
            <w:r>
              <w:rPr>
                <w:b/>
                <w:color w:val="ff0000"/>
              </w:rPr>
            </w:r>
          </w:p>
        </w:tc>
      </w:tr>
      <w:tr>
        <w:tblPrEx/>
        <w:trPr>
          <w:trHeight w:val="48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0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Общий объем социальных выплат, </w:t>
            </w:r>
            <w:r>
              <w:rPr>
                <w:color w:val="000000"/>
                <w:sz w:val="22"/>
              </w:rPr>
              <w:t xml:space="preserve">млн</w:t>
            </w:r>
            <w:r>
              <w:rPr>
                <w:color w:val="000000"/>
                <w:sz w:val="22"/>
              </w:rPr>
              <w:t xml:space="preserve">.</w:t>
            </w:r>
            <w:r>
              <w:rPr>
                <w:color w:val="000000"/>
                <w:sz w:val="22"/>
              </w:rPr>
              <w:t xml:space="preserve"> </w:t>
            </w:r>
            <w:r>
              <w:rPr>
                <w:color w:val="000000"/>
                <w:sz w:val="22"/>
              </w:rPr>
              <w:t xml:space="preserve">рублей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394,4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641,8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775,9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914,4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1156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6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0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из них: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0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   пенсии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359,4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598,5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720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853,5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1085,3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0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   пособия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35,0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43,3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55,9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60,9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70,7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0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0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Темп роста общего объема социальных выплат к предыдущему году,</w:t>
            </w:r>
            <w:r>
              <w:rPr>
                <w:color w:val="000000"/>
                <w:sz w:val="22"/>
              </w:rPr>
              <w:t xml:space="preserve">%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110,0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в 1,6 р.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120,9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117,9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116,1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0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0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Количество семей, получивших субсидии на оплату жилищно-коммунальных услуг, ед.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778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1597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1517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246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193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0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Темп роста к предыдущему году,</w:t>
            </w:r>
            <w:r>
              <w:rPr>
                <w:color w:val="000000"/>
                <w:sz w:val="22"/>
              </w:rPr>
              <w:t xml:space="preserve">%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в 1,6 р.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в 2,1 р.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95,0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16,2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78,5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0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0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Доля населения, получившего субсидии на оплату жилищно-коммунальных услуг,</w:t>
            </w:r>
            <w:r>
              <w:rPr>
                <w:color w:val="000000"/>
                <w:sz w:val="22"/>
              </w:rPr>
              <w:t xml:space="preserve">%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2,4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13,2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12,6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2,0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0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Численность пенсионеров, </w:t>
            </w:r>
            <w:r>
              <w:rPr>
                <w:color w:val="000000"/>
                <w:sz w:val="22"/>
              </w:rPr>
              <w:t xml:space="preserve">тыс.</w:t>
            </w:r>
            <w:r>
              <w:rPr>
                <w:color w:val="000000"/>
                <w:sz w:val="22"/>
              </w:rPr>
              <w:t xml:space="preserve"> чел.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10, 439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10,180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10,188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10,128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10,110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6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0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Темп роста к предыдущему году,</w:t>
            </w:r>
            <w:r>
              <w:rPr>
                <w:color w:val="000000"/>
                <w:sz w:val="22"/>
              </w:rPr>
              <w:t xml:space="preserve">%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98,7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97,5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100,1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99,4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99,8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0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0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Доля пенсионеров в общей численности населения,</w:t>
            </w:r>
            <w:r>
              <w:rPr>
                <w:color w:val="000000"/>
                <w:sz w:val="22"/>
              </w:rPr>
              <w:t xml:space="preserve">%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31,9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31,3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31,3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31,1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r>
              <w:rPr>
                <w:sz w:val="22"/>
              </w:rPr>
              <w:t xml:space="preserve">31,2</w:t>
            </w:r>
            <w:r/>
          </w:p>
        </w:tc>
      </w:tr>
      <w:tr>
        <w:tblPrEx/>
        <w:trPr>
          <w:trHeight w:val="2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0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Средний размер пенсий, рублей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3 296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4074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5548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6873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7462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4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0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Темп роста к предыдущему году,</w:t>
            </w:r>
            <w:r>
              <w:rPr>
                <w:color w:val="000000"/>
                <w:sz w:val="22"/>
              </w:rPr>
              <w:t xml:space="preserve">%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130,0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123,6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136,2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123,9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108,6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06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0" w:type="dxa"/>
            <w:textDirection w:val="lrTb"/>
            <w:noWrap w:val="false"/>
          </w:tcPr>
          <w:p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</w:rPr>
              <w:t xml:space="preserve">Справочно</w:t>
            </w:r>
            <w:r>
              <w:rPr>
                <w:i/>
                <w:color w:val="000000"/>
                <w:sz w:val="22"/>
              </w:rPr>
              <w:t xml:space="preserve">: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  <w:p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</w:rPr>
              <w:t xml:space="preserve">Средний размер пенсий по области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</w:rPr>
              <w:t xml:space="preserve">3 471,0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</w:rPr>
              <w:t xml:space="preserve">4 297,3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</w:rPr>
              <w:t xml:space="preserve">5 856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</w:rPr>
              <w:t xml:space="preserve">7 255,3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</w:rPr>
              <w:t xml:space="preserve">7919,51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</w:tr>
      <w:tr>
        <w:tblPrEx/>
        <w:trPr>
          <w:trHeight w:val="263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190" w:type="dxa"/>
            <w:textDirection w:val="lrTb"/>
            <w:noWrap w:val="false"/>
          </w:tcPr>
          <w:p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</w:rPr>
              <w:t xml:space="preserve">Темп роста к предыдущему году,</w:t>
            </w:r>
            <w:r>
              <w:rPr>
                <w:i/>
                <w:color w:val="000000"/>
                <w:sz w:val="22"/>
              </w:rPr>
              <w:t xml:space="preserve">%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</w:rPr>
              <w:t xml:space="preserve">130,9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</w:rPr>
              <w:t xml:space="preserve">123,8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</w:rPr>
              <w:t xml:space="preserve">136,3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6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</w:rPr>
              <w:t xml:space="preserve">123,9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67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</w:rPr>
              <w:t xml:space="preserve">109,2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</w:tr>
    </w:tbl>
    <w:p>
      <w:pPr>
        <w:ind w:firstLine="708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  <w:r>
        <w:rPr>
          <w:color w:val="ff0000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2011 году по сравнению с 2006 годом  общий объем социальных выплат вырос в 2,9 раза. 93,9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социальных выплат приходится на пенсии. За анализируемый период средняя пенсия увеличилась в 2,3 раза и составила 7 462,3 рублей, что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5,8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меньше средней пенсии по области.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 xml:space="preserve">Необходимо отметить увеличение покупательной способности пенсии с 1,27 в 2007 году до 1,87 в 2011 году.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Доля пенсионеров в 2011 году по сравнению с 2007 годом снизилась на  0,7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</w:t>
      </w:r>
      <w:r>
        <w:rPr>
          <w:sz w:val="28"/>
          <w:szCs w:val="28"/>
        </w:rPr>
        <w:t xml:space="preserve">ного пункта и составила 31,2% от общего числа жителей муниципалитета.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семей, получивших субсидии на оплату жилищно-коммунальных услуг, и их доля в общей численности населения района постоянно колеблется в связи с изменением законодательства в этой сфере.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1.2.4. Жилищно-коммунальная сфера и благоустройство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Жилищно-коммунальный комплекс муниципального образования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включает в себя жилищный фонд общей площадью 949,4 </w:t>
      </w:r>
      <w:r>
        <w:rPr>
          <w:rFonts w:ascii="Times New Roman" w:hAnsi="Times New Roman"/>
          <w:sz w:val="28"/>
          <w:szCs w:val="28"/>
        </w:rPr>
        <w:t xml:space="preserve">тыс.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кв.м</w:t>
      </w:r>
      <w:r>
        <w:rPr>
          <w:rFonts w:ascii="Times New Roman" w:hAnsi="Times New Roman"/>
          <w:sz w:val="28"/>
          <w:szCs w:val="28"/>
        </w:rPr>
        <w:t xml:space="preserve">, объекты водоснабжения и водоотведения, коммунальную энергетику, внешнее благоустройство, включающее дорожное хозяйство, санитарную очистку, озеленение, ремонтно-эксплуатационные предприятия и службы, предприятия бытового обслуживания.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</w:r>
      <w:r>
        <w:rPr>
          <w:rFonts w:ascii="Times New Roman" w:hAnsi="Times New Roman"/>
          <w:color w:val="ff0000"/>
          <w:sz w:val="28"/>
          <w:szCs w:val="28"/>
        </w:rPr>
      </w:r>
      <w:r>
        <w:rPr>
          <w:rFonts w:ascii="Times New Roman" w:hAnsi="Times New Roman"/>
          <w:color w:val="ff0000"/>
          <w:sz w:val="28"/>
          <w:szCs w:val="28"/>
        </w:rPr>
      </w:r>
    </w:p>
    <w:p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7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10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Структура собственности жилищного фонда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муниципального образования по состоянию на 01.01.2012 года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8"/>
        <w:jc w:val="both"/>
      </w:pPr>
      <w:r/>
      <w:r/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3085"/>
        <w:gridCol w:w="3825"/>
      </w:tblGrid>
      <w:tr>
        <w:tblPrEx/>
        <w:trPr>
          <w:trHeight w:val="551"/>
          <w:tblHeader/>
        </w:trPr>
        <w:tc>
          <w:tcPr>
            <w:tcW w:w="2674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Вид собственности жилищного фонда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08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Площадь,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(</w:t>
            </w:r>
            <w:r>
              <w:rPr>
                <w:b/>
              </w:rPr>
              <w:t xml:space="preserve">тыс.</w:t>
            </w:r>
            <w:r>
              <w:rPr>
                <w:b/>
              </w:rPr>
              <w:t xml:space="preserve"> м2)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82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Удельный вес в  общей площади жилищного фонда, (%) 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rHeight w:val="265"/>
        </w:trPr>
        <w:tc>
          <w:tcPr>
            <w:tcW w:w="2674" w:type="dxa"/>
            <w:textDirection w:val="lrTb"/>
            <w:noWrap w:val="false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  <w:t xml:space="preserve">Всего жилищный фонд, 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085" w:type="dxa"/>
            <w:textDirection w:val="lrTb"/>
            <w:noWrap w:val="false"/>
          </w:tcPr>
          <w:p>
            <w:pPr>
              <w:jc w:val="center"/>
            </w:pPr>
            <w:r>
              <w:t xml:space="preserve">956,1</w:t>
            </w:r>
            <w:r/>
          </w:p>
        </w:tc>
        <w:tc>
          <w:tcPr>
            <w:tcW w:w="3825" w:type="dxa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</w:p>
        </w:tc>
      </w:tr>
      <w:tr>
        <w:tblPrEx/>
        <w:trPr>
          <w:trHeight w:val="265"/>
        </w:trPr>
        <w:tc>
          <w:tcPr>
            <w:tcW w:w="2674" w:type="dxa"/>
            <w:textDirection w:val="lrTb"/>
            <w:noWrap w:val="false"/>
          </w:tcPr>
          <w:p>
            <w:pPr>
              <w:jc w:val="both"/>
            </w:pPr>
            <w:r>
              <w:t xml:space="preserve">   в том числе:</w:t>
            </w:r>
            <w:r/>
          </w:p>
        </w:tc>
        <w:tc>
          <w:tcPr>
            <w:tcW w:w="3085" w:type="dxa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3825" w:type="dxa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>
          <w:trHeight w:val="265"/>
        </w:trPr>
        <w:tc>
          <w:tcPr>
            <w:tcW w:w="2674" w:type="dxa"/>
            <w:textDirection w:val="lrTb"/>
            <w:noWrap w:val="false"/>
          </w:tcPr>
          <w:p>
            <w:pPr>
              <w:jc w:val="both"/>
            </w:pPr>
            <w:r>
              <w:t xml:space="preserve">муниципальная</w:t>
            </w:r>
            <w:r/>
          </w:p>
        </w:tc>
        <w:tc>
          <w:tcPr>
            <w:tcW w:w="3085" w:type="dxa"/>
            <w:textDirection w:val="lrTb"/>
            <w:noWrap w:val="false"/>
          </w:tcPr>
          <w:p>
            <w:pPr>
              <w:jc w:val="center"/>
            </w:pPr>
            <w:r>
              <w:t xml:space="preserve">31,4</w:t>
            </w:r>
            <w:r/>
          </w:p>
        </w:tc>
        <w:tc>
          <w:tcPr>
            <w:tcW w:w="3825" w:type="dxa"/>
            <w:textDirection w:val="lrTb"/>
            <w:noWrap w:val="false"/>
          </w:tcPr>
          <w:p>
            <w:pPr>
              <w:jc w:val="center"/>
            </w:pPr>
            <w:r>
              <w:t xml:space="preserve">3,3</w:t>
            </w:r>
            <w:r/>
          </w:p>
        </w:tc>
      </w:tr>
      <w:tr>
        <w:tblPrEx/>
        <w:trPr>
          <w:trHeight w:val="286"/>
        </w:trPr>
        <w:tc>
          <w:tcPr>
            <w:tcW w:w="2674" w:type="dxa"/>
            <w:textDirection w:val="lrTb"/>
            <w:noWrap w:val="false"/>
          </w:tcPr>
          <w:p>
            <w:pPr>
              <w:jc w:val="both"/>
            </w:pPr>
            <w:r>
              <w:t xml:space="preserve">государственная</w:t>
            </w:r>
            <w:r/>
          </w:p>
        </w:tc>
        <w:tc>
          <w:tcPr>
            <w:tcW w:w="3085" w:type="dxa"/>
            <w:textDirection w:val="lrTb"/>
            <w:noWrap w:val="false"/>
          </w:tcPr>
          <w:p>
            <w:pPr>
              <w:jc w:val="center"/>
            </w:pPr>
            <w:r>
              <w:t xml:space="preserve">4,8</w:t>
            </w:r>
            <w:r/>
          </w:p>
        </w:tc>
        <w:tc>
          <w:tcPr>
            <w:tcW w:w="3825" w:type="dxa"/>
            <w:textDirection w:val="lrTb"/>
            <w:noWrap w:val="false"/>
          </w:tcPr>
          <w:p>
            <w:pPr>
              <w:jc w:val="center"/>
            </w:pPr>
            <w:r>
              <w:t xml:space="preserve">0,5</w:t>
            </w:r>
            <w:r/>
          </w:p>
        </w:tc>
      </w:tr>
      <w:tr>
        <w:tblPrEx/>
        <w:trPr>
          <w:trHeight w:val="286"/>
        </w:trPr>
        <w:tc>
          <w:tcPr>
            <w:tcW w:w="2674" w:type="dxa"/>
            <w:textDirection w:val="lrTb"/>
            <w:noWrap w:val="false"/>
          </w:tcPr>
          <w:p>
            <w:pPr>
              <w:jc w:val="both"/>
            </w:pPr>
            <w:r>
              <w:t xml:space="preserve">частная</w:t>
            </w:r>
            <w:r/>
          </w:p>
        </w:tc>
        <w:tc>
          <w:tcPr>
            <w:tcW w:w="3085" w:type="dxa"/>
            <w:textDirection w:val="lrTb"/>
            <w:noWrap w:val="false"/>
          </w:tcPr>
          <w:p>
            <w:pPr>
              <w:jc w:val="center"/>
            </w:pPr>
            <w:r>
              <w:t xml:space="preserve">91</w:t>
            </w:r>
            <w:r>
              <w:t xml:space="preserve">9,9</w:t>
            </w:r>
            <w:r/>
          </w:p>
        </w:tc>
        <w:tc>
          <w:tcPr>
            <w:tcW w:w="3825" w:type="dxa"/>
            <w:textDirection w:val="lrTb"/>
            <w:noWrap w:val="false"/>
          </w:tcPr>
          <w:p>
            <w:pPr>
              <w:jc w:val="center"/>
            </w:pPr>
            <w:r>
              <w:t xml:space="preserve">96,2</w:t>
            </w:r>
            <w:r/>
          </w:p>
        </w:tc>
      </w:tr>
    </w:tbl>
    <w:p>
      <w:pPr>
        <w:jc w:val="right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Наибольший удельный вес в структуре жилищного фонда занимает частный жилой фонд – 96,2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процентов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0"/>
        </w:numPr>
        <w:ind w:firstLine="72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</w:t>
      </w:r>
      <w:r>
        <w:rPr>
          <w:i/>
          <w:color w:val="000000"/>
          <w:sz w:val="28"/>
          <w:szCs w:val="28"/>
        </w:rPr>
        <w:t xml:space="preserve">8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pStyle w:val="1006"/>
        <w:jc w:val="center"/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объекты жилищно-коммунального хозяйства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МО 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  <w14:ligatures w14:val="none"/>
        </w:rPr>
      </w:r>
    </w:p>
    <w:p>
      <w:pPr>
        <w:numPr>
          <w:ilvl w:val="0"/>
          <w:numId w:val="0"/>
        </w:num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(на конец года)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tbl>
      <w:tblPr>
        <w:tblW w:w="10001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4256"/>
        <w:gridCol w:w="1168"/>
        <w:gridCol w:w="915"/>
        <w:gridCol w:w="915"/>
        <w:gridCol w:w="916"/>
        <w:gridCol w:w="915"/>
        <w:gridCol w:w="916"/>
      </w:tblGrid>
      <w:tr>
        <w:tblPrEx/>
        <w:trPr>
          <w:tblHeader/>
        </w:trPr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Наименование показателей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Ед. измерения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2007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15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2008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1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2009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15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2010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1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2011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Количество отопительных котельных, работающих на природном газе - всего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ед.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 xml:space="preserve">т.ч</w:t>
            </w:r>
            <w:r>
              <w:rPr>
                <w:color w:val="000000"/>
              </w:rPr>
              <w:t xml:space="preserve">. расположенных в сельских поселениях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ед.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Общая мощность котельных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Гкал/час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58,513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55,79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55,79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60,99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60,99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Протяженность сетей теплоснабжения (в двухтрубном исчислении) – всего  в </w:t>
            </w:r>
            <w:r>
              <w:rPr>
                <w:color w:val="000000"/>
              </w:rPr>
              <w:t xml:space="preserve">т.ч</w:t>
            </w:r>
            <w:r>
              <w:rPr>
                <w:color w:val="000000"/>
              </w:rPr>
              <w:t xml:space="preserve">.: 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20,214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- в городских поселениях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10,35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10,35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10,35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10,35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10,35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- в сельских поселениях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9,86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9,75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9,75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9,75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9,75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Количество центральных тепловых пунктов (ЦТП)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ед.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Протяженность сетей водопровода-всего, в </w:t>
            </w:r>
            <w:r>
              <w:rPr>
                <w:color w:val="000000"/>
              </w:rPr>
              <w:t xml:space="preserve">т.ч</w:t>
            </w:r>
            <w:r>
              <w:rPr>
                <w:color w:val="000000"/>
              </w:rPr>
              <w:t xml:space="preserve">.: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- в городских поселениях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- в сельских поселениях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Протяженность сетей канализации-всего, в </w:t>
            </w:r>
            <w:r>
              <w:rPr>
                <w:color w:val="000000"/>
              </w:rPr>
              <w:t xml:space="preserve">т.ч</w:t>
            </w:r>
            <w:r>
              <w:rPr>
                <w:color w:val="000000"/>
              </w:rPr>
              <w:t xml:space="preserve">.: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28,4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- в городских поселениях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31,4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31,4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31,4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31,4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- в сельских поселениях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Количество трансформаторных и распределительных подстанций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ед.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374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Протяженность сетей электроснабжения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1 450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1317,1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1317,1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1317,1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1317,1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Протяженность сетей газоснабжения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Протяженность автодорог </w:t>
            </w:r>
            <w:r>
              <w:rPr>
                <w:color w:val="000000"/>
              </w:rPr>
              <w:t xml:space="preserve">с твердым покрытием </w:t>
            </w:r>
            <w:r>
              <w:rPr>
                <w:color w:val="000000"/>
              </w:rPr>
              <w:t xml:space="preserve">- всего, в </w:t>
            </w:r>
            <w:r>
              <w:rPr>
                <w:color w:val="000000"/>
              </w:rPr>
              <w:t xml:space="preserve">т.ч</w:t>
            </w:r>
            <w:r>
              <w:rPr>
                <w:color w:val="000000"/>
              </w:rPr>
              <w:t xml:space="preserve">.: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км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696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696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701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</w:pPr>
            <w:r>
              <w:t xml:space="preserve">-общего пользования местного значения с твердым покрытием</w:t>
            </w:r>
            <w:r/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</w:pPr>
            <w:r>
              <w:t xml:space="preserve">км</w:t>
            </w:r>
            <w:r/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</w:pPr>
            <w:r>
              <w:t xml:space="preserve">336,8</w:t>
            </w:r>
            <w:r/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</w:pPr>
            <w:r>
              <w:t xml:space="preserve">346,9</w:t>
            </w:r>
            <w:r/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</w:pPr>
            <w:r>
              <w:t xml:space="preserve">346,9</w:t>
            </w:r>
            <w:r/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</w:pPr>
            <w:r>
              <w:t xml:space="preserve">347</w:t>
            </w:r>
            <w:r/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</w:pPr>
            <w:r>
              <w:t xml:space="preserve">347</w:t>
            </w:r>
            <w:r/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Число муниципальных предприятий ЖКХ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ед.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Численность персонала муниципальных предприятий ЖКХ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чел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242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242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2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Количество ТСЖ и других форм управления жилищным фондом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68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ед.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5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6" w:type="dxa"/>
            <w:vAlign w:val="center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</w:tbl>
    <w:p>
      <w:pPr>
        <w:jc w:val="right"/>
        <w:rPr>
          <w:b/>
          <w:color w:val="ff0000"/>
        </w:rPr>
      </w:pPr>
      <w:r>
        <w:rPr>
          <w:b/>
          <w:color w:val="ff0000"/>
        </w:rPr>
      </w:r>
      <w:r>
        <w:rPr>
          <w:b/>
          <w:color w:val="ff0000"/>
        </w:rPr>
      </w:r>
      <w:r>
        <w:rPr>
          <w:b/>
          <w:color w:val="ff0000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Жилищно-коммунальное обслуживание в МО производят: МУП «</w:t>
      </w:r>
      <w:r>
        <w:rPr>
          <w:color w:val="000000"/>
          <w:sz w:val="28"/>
          <w:szCs w:val="28"/>
        </w:rPr>
        <w:t xml:space="preserve">Ремводстрой</w:t>
      </w:r>
      <w:r>
        <w:rPr>
          <w:color w:val="000000"/>
          <w:sz w:val="28"/>
          <w:szCs w:val="28"/>
        </w:rPr>
        <w:t xml:space="preserve">», МУП «Благоустройство и озеленение», МУП «Водоканал», МУП «</w:t>
      </w:r>
      <w:r>
        <w:rPr>
          <w:color w:val="000000"/>
          <w:sz w:val="28"/>
          <w:szCs w:val="28"/>
        </w:rPr>
        <w:t xml:space="preserve">Теплоком</w:t>
      </w:r>
      <w:r>
        <w:rPr>
          <w:color w:val="000000"/>
          <w:sz w:val="28"/>
          <w:szCs w:val="28"/>
        </w:rPr>
        <w:t xml:space="preserve">»,</w:t>
      </w:r>
      <w:r>
        <w:rPr>
          <w:color w:val="000000"/>
          <w:sz w:val="28"/>
          <w:szCs w:val="28"/>
        </w:rPr>
        <w:t xml:space="preserve">Чернянская</w:t>
      </w:r>
      <w:r>
        <w:rPr>
          <w:color w:val="000000"/>
          <w:sz w:val="28"/>
          <w:szCs w:val="28"/>
        </w:rPr>
        <w:t xml:space="preserve"> районная </w:t>
      </w:r>
      <w:r>
        <w:rPr>
          <w:color w:val="000000"/>
          <w:sz w:val="28"/>
          <w:szCs w:val="28"/>
        </w:rPr>
        <w:t xml:space="preserve">эксплутационная</w:t>
      </w:r>
      <w:r>
        <w:rPr>
          <w:color w:val="000000"/>
          <w:sz w:val="28"/>
          <w:szCs w:val="28"/>
        </w:rPr>
        <w:t xml:space="preserve"> газовая служба филиала ОАО «</w:t>
      </w:r>
      <w:r>
        <w:rPr>
          <w:color w:val="000000"/>
          <w:sz w:val="28"/>
          <w:szCs w:val="28"/>
        </w:rPr>
        <w:t xml:space="preserve">Белгородоблгаз</w:t>
      </w:r>
      <w:r>
        <w:rPr>
          <w:color w:val="000000"/>
          <w:sz w:val="28"/>
          <w:szCs w:val="28"/>
        </w:rPr>
        <w:t xml:space="preserve">», Чернянский РЭС филиала</w:t>
      </w:r>
      <w:r>
        <w:rPr>
          <w:color w:val="000000"/>
          <w:sz w:val="28"/>
          <w:szCs w:val="28"/>
        </w:rPr>
        <w:t xml:space="preserve"> О</w:t>
      </w:r>
      <w:r>
        <w:rPr>
          <w:color w:val="000000"/>
          <w:sz w:val="28"/>
          <w:szCs w:val="28"/>
        </w:rPr>
        <w:t xml:space="preserve">АО «Межрегиональная распределительная сетевая компания центра-Белгородэнерго», ОАО «Белгородская сбытовая компания»,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ООО «Паритет». </w:t>
      </w:r>
      <w:r>
        <w:rPr>
          <w:color w:val="000000"/>
          <w:sz w:val="28"/>
          <w:szCs w:val="28"/>
        </w:rPr>
        <w:t xml:space="preserve">Все эти организации имеют квалифицированных специалистов для оказания своевременных и качественных услуг в сфере жилищно-коммунального хозяйства для населения.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Альтернативные управляющие компании в сфере услуг жилищно-коммунального хозяйства  отсутствуют.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Реализуются мероприятия по благоустройству и озеленению </w:t>
      </w:r>
      <w:r>
        <w:rPr>
          <w:color w:val="000000"/>
          <w:sz w:val="28"/>
          <w:szCs w:val="28"/>
        </w:rPr>
        <w:t xml:space="preserve">      населенн</w:t>
      </w:r>
      <w:r>
        <w:rPr>
          <w:color w:val="000000"/>
          <w:sz w:val="28"/>
          <w:szCs w:val="28"/>
        </w:rPr>
        <w:t xml:space="preserve">ых пунктов МО, укладке плиточных покрытий. В рамках областной программы «Зеленая столица»  по итогам 2011 года по направлению «Озеленение и ландшаф</w:t>
      </w:r>
      <w:r>
        <w:rPr>
          <w:color w:val="000000"/>
          <w:sz w:val="28"/>
          <w:szCs w:val="28"/>
        </w:rPr>
        <w:t xml:space="preserve">т</w:t>
      </w:r>
      <w:r>
        <w:rPr>
          <w:color w:val="000000"/>
          <w:sz w:val="28"/>
          <w:szCs w:val="28"/>
        </w:rPr>
        <w:t xml:space="preserve">ное обустройство» освоено 13,1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руб</w:t>
      </w:r>
      <w:r>
        <w:rPr>
          <w:color w:val="000000"/>
          <w:sz w:val="28"/>
          <w:szCs w:val="28"/>
        </w:rPr>
        <w:t xml:space="preserve">, в том числе из местного бюджета  - 11,9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На территории муниципального образования высажено 35,7 </w:t>
      </w:r>
      <w:r>
        <w:rPr>
          <w:color w:val="000000"/>
          <w:sz w:val="28"/>
          <w:szCs w:val="28"/>
        </w:rPr>
        <w:t xml:space="preserve">тыс</w:t>
      </w:r>
      <w:r>
        <w:rPr>
          <w:color w:val="000000"/>
          <w:sz w:val="28"/>
          <w:szCs w:val="28"/>
        </w:rPr>
        <w:t xml:space="preserve">ячи саженцев деревьев, 1,9 </w:t>
      </w:r>
      <w:r>
        <w:rPr>
          <w:color w:val="000000"/>
          <w:sz w:val="28"/>
          <w:szCs w:val="28"/>
        </w:rPr>
        <w:t xml:space="preserve">тыс</w:t>
      </w:r>
      <w:r>
        <w:rPr>
          <w:color w:val="000000"/>
          <w:sz w:val="28"/>
          <w:szCs w:val="28"/>
        </w:rPr>
        <w:t xml:space="preserve">ячи кустарников, 75,7 </w:t>
      </w:r>
      <w:r>
        <w:rPr>
          <w:color w:val="000000"/>
          <w:sz w:val="28"/>
          <w:szCs w:val="28"/>
        </w:rPr>
        <w:t xml:space="preserve">тыс</w:t>
      </w:r>
      <w:r>
        <w:rPr>
          <w:color w:val="000000"/>
          <w:sz w:val="28"/>
          <w:szCs w:val="28"/>
        </w:rPr>
        <w:t xml:space="preserve">яч штук цветочной рассады. В 201</w:t>
      </w:r>
      <w:r>
        <w:rPr>
          <w:color w:val="000000"/>
          <w:sz w:val="28"/>
          <w:szCs w:val="28"/>
        </w:rPr>
        <w:t xml:space="preserve">1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году продолжена реализация программы </w:t>
      </w:r>
      <w:r>
        <w:rPr>
          <w:color w:val="000000"/>
          <w:sz w:val="28"/>
          <w:szCs w:val="28"/>
        </w:rPr>
        <w:t xml:space="preserve">«500 парков Белогорья», в рамках данной программы в прошедшем году на территории района создано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3 сквера в с.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Кочегуры и два в п.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Чернянка</w:t>
      </w:r>
      <w:r>
        <w:rPr>
          <w:color w:val="000000"/>
          <w:sz w:val="28"/>
          <w:szCs w:val="28"/>
        </w:rPr>
        <w:t xml:space="preserve">, уложено 5500 </w:t>
      </w:r>
      <w:r>
        <w:rPr>
          <w:color w:val="000000"/>
          <w:sz w:val="28"/>
          <w:szCs w:val="28"/>
        </w:rPr>
        <w:t xml:space="preserve">кв.м</w:t>
      </w:r>
      <w:r>
        <w:rPr>
          <w:color w:val="000000"/>
          <w:sz w:val="28"/>
          <w:szCs w:val="28"/>
        </w:rPr>
        <w:t xml:space="preserve"> тротуарной плитки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По направлению «Создание и благоустройство рекреационных зон, включая берега рек, водохранилищ, прудов» освоено 6125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руб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В соответствии с реализацией программы по строительству тротуаров и велосипедных дорожек построены тротуары площадью 18464 </w:t>
      </w:r>
      <w:r>
        <w:rPr>
          <w:color w:val="000000"/>
          <w:sz w:val="28"/>
          <w:szCs w:val="28"/>
        </w:rPr>
        <w:t xml:space="preserve">кв.м</w:t>
      </w:r>
      <w:r>
        <w:rPr>
          <w:color w:val="000000"/>
          <w:sz w:val="28"/>
          <w:szCs w:val="28"/>
        </w:rPr>
        <w:t xml:space="preserve"> в селах </w:t>
      </w:r>
      <w:r>
        <w:rPr>
          <w:color w:val="000000"/>
          <w:sz w:val="28"/>
          <w:szCs w:val="28"/>
        </w:rPr>
        <w:t xml:space="preserve">Ездочное</w:t>
      </w:r>
      <w:r>
        <w:rPr>
          <w:color w:val="000000"/>
          <w:sz w:val="28"/>
          <w:szCs w:val="28"/>
        </w:rPr>
        <w:t xml:space="preserve">, Лозное, Окуни, п.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Чернянка,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 всего с 2007-2011 года уложено 41,1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кв.м</w:t>
      </w:r>
      <w:r>
        <w:rPr>
          <w:color w:val="000000"/>
          <w:sz w:val="28"/>
          <w:szCs w:val="28"/>
        </w:rPr>
        <w:t xml:space="preserve"> цементно-песчаной плитки,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проведено обустройство кладбищ  на </w:t>
      </w:r>
      <w:r>
        <w:rPr>
          <w:color w:val="000000"/>
          <w:sz w:val="28"/>
          <w:szCs w:val="28"/>
        </w:rPr>
        <w:t xml:space="preserve">сумму 13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Протяженность автомобильных дорог с твердым покрытием стало больше в связи с увеличением финансирования на дорожное строительство.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Проводятся мероприятия по обеспечению населенных пунктов  уборкой мусора с помощью </w:t>
      </w:r>
      <w:r>
        <w:rPr>
          <w:rFonts w:ascii="Times New Roman" w:hAnsi="Times New Roman"/>
          <w:color w:val="000000"/>
          <w:sz w:val="28"/>
          <w:szCs w:val="28"/>
        </w:rPr>
        <w:t xml:space="preserve">контейнеров. За</w:t>
      </w:r>
      <w:r>
        <w:rPr>
          <w:rFonts w:ascii="Times New Roman" w:hAnsi="Times New Roman"/>
          <w:color w:val="000000"/>
          <w:sz w:val="28"/>
          <w:szCs w:val="28"/>
        </w:rPr>
        <w:t xml:space="preserve"> 2007-2011 годы приобретено  5 мусоровозов для вывоза ТБО, на 01.01.2012 год установлено 194 контейнер</w:t>
      </w:r>
      <w:r>
        <w:rPr>
          <w:rFonts w:ascii="Times New Roman" w:hAnsi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/>
          <w:color w:val="000000"/>
          <w:sz w:val="28"/>
          <w:szCs w:val="28"/>
        </w:rPr>
        <w:t xml:space="preserve">, в том числе по сельским поселениям 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127, смонтировано 30 площадок под контейнеры, в том числе по сельским поселениям 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19.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9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Обеспеченность населения жильем, коммунальной инфраструктурой,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благоустройство населенных пунктов в МО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ff0000"/>
        </w:rPr>
      </w:pPr>
      <w:r>
        <w:rPr>
          <w:b/>
          <w:color w:val="ff0000"/>
        </w:rPr>
      </w:r>
      <w:r>
        <w:rPr>
          <w:b/>
          <w:color w:val="ff0000"/>
        </w:rPr>
      </w:r>
      <w:r>
        <w:rPr>
          <w:b/>
          <w:color w:val="ff0000"/>
        </w:rPr>
      </w:r>
    </w:p>
    <w:tbl>
      <w:tblPr>
        <w:tblW w:w="970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616"/>
        <w:gridCol w:w="868"/>
        <w:gridCol w:w="868"/>
        <w:gridCol w:w="1041"/>
        <w:gridCol w:w="2311"/>
      </w:tblGrid>
      <w:tr>
        <w:tblPrEx/>
        <w:trPr>
          <w:trHeight w:val="281"/>
          <w:tblHeader/>
        </w:trPr>
        <w:tc>
          <w:tcPr>
            <w:tcW w:w="4616" w:type="dxa"/>
            <w:vMerge w:val="restart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Наименование показателей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Еди</w:t>
            </w:r>
            <w:r>
              <w:rPr>
                <w:b/>
                <w:sz w:val="22"/>
              </w:rPr>
              <w:t xml:space="preserve">-</w:t>
            </w:r>
            <w:r>
              <w:rPr>
                <w:b/>
                <w:sz w:val="22"/>
              </w:rPr>
              <w:t xml:space="preserve">ница</w:t>
            </w:r>
            <w:r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изме</w:t>
            </w:r>
            <w:r>
              <w:rPr>
                <w:b/>
                <w:sz w:val="22"/>
              </w:rPr>
              <w:t xml:space="preserve">-</w:t>
            </w:r>
            <w:r>
              <w:rPr>
                <w:b/>
                <w:sz w:val="22"/>
              </w:rPr>
              <w:t xml:space="preserve">рения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3"/>
            <w:tcW w:w="422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Показатели по состоянию на 01.01.2012 года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rHeight w:val="280"/>
          <w:tblHeader/>
        </w:trPr>
        <w:tc>
          <w:tcPr>
            <w:tcW w:w="4616" w:type="dxa"/>
            <w:vMerge w:val="continue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bottom w:val="single" w:color="auto" w:sz="4" w:space="0"/>
            </w:tcBorders>
            <w:tcW w:w="86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e0e0e0"/>
            <w:tcW w:w="86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МО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область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31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Коэффициент сравнения (МО/область)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505"/>
        </w:trPr>
        <w:tc>
          <w:tcPr>
            <w:tcW w:w="4616" w:type="dxa"/>
            <w:textDirection w:val="lrTb"/>
            <w:noWrap w:val="false"/>
          </w:tcPr>
          <w:p>
            <w:r>
              <w:rPr>
                <w:sz w:val="22"/>
              </w:rPr>
              <w:t xml:space="preserve">Обеспеченность населения жильем на одного жителя</w:t>
            </w:r>
            <w:r/>
          </w:p>
        </w:tc>
        <w:tc>
          <w:tcPr>
            <w:shd w:val="clear" w:color="auto" w:fill="ffffff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м2/чел.</w:t>
            </w:r>
            <w:r/>
          </w:p>
        </w:tc>
        <w:tc>
          <w:tcPr>
            <w:shd w:val="clear" w:color="auto" w:fill="e0e0e0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29,</w:t>
            </w:r>
            <w:r>
              <w:rPr>
                <w:sz w:val="22"/>
              </w:rPr>
              <w:t xml:space="preserve">6</w:t>
            </w:r>
            <w:r/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2</w:t>
            </w:r>
            <w:r>
              <w:rPr>
                <w:sz w:val="22"/>
              </w:rPr>
              <w:t xml:space="preserve">6,3</w:t>
            </w:r>
            <w:r/>
          </w:p>
        </w:tc>
        <w:tc>
          <w:tcPr>
            <w:tcW w:w="23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1,1</w:t>
            </w:r>
            <w:r/>
          </w:p>
        </w:tc>
      </w:tr>
      <w:tr>
        <w:tblPrEx/>
        <w:trPr>
          <w:trHeight w:val="485"/>
        </w:trPr>
        <w:tc>
          <w:tcPr>
            <w:tcW w:w="4616" w:type="dxa"/>
            <w:textDirection w:val="lrTb"/>
            <w:noWrap w:val="false"/>
          </w:tcPr>
          <w:p>
            <w:r>
              <w:rPr>
                <w:sz w:val="22"/>
              </w:rPr>
              <w:t xml:space="preserve">Уровень благоустройства жилищного фонда – жилищный фонд, оборудованный:</w:t>
            </w:r>
            <w:r/>
          </w:p>
        </w:tc>
        <w:tc>
          <w:tcPr>
            <w:shd w:val="clear" w:color="auto" w:fill="ffffff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auto" w:fill="e0e0e0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 </w:t>
            </w:r>
            <w:r/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2311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>
          <w:trHeight w:val="243"/>
        </w:trPr>
        <w:tc>
          <w:tcPr>
            <w:tcW w:w="4616" w:type="dxa"/>
            <w:textDirection w:val="lrTb"/>
            <w:noWrap w:val="false"/>
          </w:tcPr>
          <w:p>
            <w:r>
              <w:rPr>
                <w:sz w:val="22"/>
              </w:rPr>
              <w:t xml:space="preserve">- водопроводом                                          </w:t>
            </w:r>
            <w:r/>
          </w:p>
        </w:tc>
        <w:tc>
          <w:tcPr>
            <w:shd w:val="clear" w:color="auto" w:fill="ffffff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%</w:t>
            </w:r>
            <w:r/>
          </w:p>
        </w:tc>
        <w:tc>
          <w:tcPr>
            <w:shd w:val="clear" w:color="auto" w:fill="e0e0e0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45,0</w:t>
            </w:r>
            <w:r/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71,9</w:t>
            </w:r>
            <w:r/>
          </w:p>
        </w:tc>
        <w:tc>
          <w:tcPr>
            <w:tcW w:w="23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0,6</w:t>
            </w:r>
            <w:r/>
          </w:p>
        </w:tc>
      </w:tr>
      <w:tr>
        <w:tblPrEx/>
        <w:trPr>
          <w:trHeight w:val="263"/>
        </w:trPr>
        <w:tc>
          <w:tcPr>
            <w:tcW w:w="4616" w:type="dxa"/>
            <w:textDirection w:val="lrTb"/>
            <w:noWrap w:val="false"/>
          </w:tcPr>
          <w:p>
            <w:r>
              <w:rPr>
                <w:sz w:val="22"/>
              </w:rPr>
              <w:t xml:space="preserve">- водоотведением                                       </w:t>
            </w:r>
            <w:r/>
          </w:p>
        </w:tc>
        <w:tc>
          <w:tcPr>
            <w:shd w:val="clear" w:color="auto" w:fill="ffffff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%</w:t>
            </w:r>
            <w:r/>
          </w:p>
        </w:tc>
        <w:tc>
          <w:tcPr>
            <w:shd w:val="clear" w:color="auto" w:fill="e0e0e0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41,4</w:t>
            </w:r>
            <w:r/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69,5</w:t>
            </w:r>
            <w:r/>
          </w:p>
        </w:tc>
        <w:tc>
          <w:tcPr>
            <w:tcW w:w="23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0,6</w:t>
            </w:r>
            <w:r/>
          </w:p>
        </w:tc>
      </w:tr>
      <w:tr>
        <w:tblPrEx/>
        <w:trPr>
          <w:trHeight w:val="243"/>
        </w:trPr>
        <w:tc>
          <w:tcPr>
            <w:tcW w:w="4616" w:type="dxa"/>
            <w:textDirection w:val="lrTb"/>
            <w:noWrap w:val="false"/>
          </w:tcPr>
          <w:p>
            <w:r>
              <w:rPr>
                <w:sz w:val="22"/>
              </w:rPr>
              <w:t xml:space="preserve">- отоплением                                                </w:t>
            </w:r>
            <w:r/>
          </w:p>
        </w:tc>
        <w:tc>
          <w:tcPr>
            <w:shd w:val="clear" w:color="auto" w:fill="ffffff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%</w:t>
            </w:r>
            <w:r/>
          </w:p>
        </w:tc>
        <w:tc>
          <w:tcPr>
            <w:shd w:val="clear" w:color="auto" w:fill="e0e0e0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99,9</w:t>
            </w:r>
            <w:r/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94,5</w:t>
            </w:r>
            <w:r/>
          </w:p>
        </w:tc>
        <w:tc>
          <w:tcPr>
            <w:tcW w:w="23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1,1</w:t>
            </w:r>
            <w:r/>
          </w:p>
        </w:tc>
      </w:tr>
      <w:tr>
        <w:tblPrEx/>
        <w:trPr>
          <w:trHeight w:val="243"/>
        </w:trPr>
        <w:tc>
          <w:tcPr>
            <w:tcW w:w="4616" w:type="dxa"/>
            <w:textDirection w:val="lrTb"/>
            <w:noWrap w:val="false"/>
          </w:tcPr>
          <w:p>
            <w:r>
              <w:rPr>
                <w:sz w:val="22"/>
              </w:rPr>
              <w:t xml:space="preserve">- газом                                                           </w:t>
            </w:r>
            <w:r/>
          </w:p>
        </w:tc>
        <w:tc>
          <w:tcPr>
            <w:shd w:val="clear" w:color="auto" w:fill="ffffff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%</w:t>
            </w:r>
            <w:r/>
          </w:p>
        </w:tc>
        <w:tc>
          <w:tcPr>
            <w:shd w:val="clear" w:color="auto" w:fill="e0e0e0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99,5</w:t>
            </w:r>
            <w:r/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84,9</w:t>
            </w:r>
            <w:r/>
          </w:p>
        </w:tc>
        <w:tc>
          <w:tcPr>
            <w:tcW w:w="23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1,2</w:t>
            </w:r>
            <w:r/>
          </w:p>
        </w:tc>
      </w:tr>
      <w:tr>
        <w:tblPrEx/>
        <w:trPr>
          <w:trHeight w:val="263"/>
        </w:trPr>
        <w:tc>
          <w:tcPr>
            <w:tcW w:w="4616" w:type="dxa"/>
            <w:textDirection w:val="lrTb"/>
            <w:noWrap w:val="false"/>
          </w:tcPr>
          <w:p>
            <w:r>
              <w:rPr>
                <w:sz w:val="22"/>
              </w:rPr>
              <w:t xml:space="preserve">Средний физический износ сетей:</w:t>
            </w:r>
            <w:r/>
          </w:p>
        </w:tc>
        <w:tc>
          <w:tcPr>
            <w:shd w:val="clear" w:color="auto" w:fill="ffffff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shd w:val="clear" w:color="auto" w:fill="e0e0e0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2311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>
          <w:trHeight w:val="243"/>
        </w:trPr>
        <w:tc>
          <w:tcPr>
            <w:tcW w:w="4616" w:type="dxa"/>
            <w:textDirection w:val="lrTb"/>
            <w:noWrap w:val="false"/>
          </w:tcPr>
          <w:p>
            <w:r>
              <w:rPr>
                <w:sz w:val="22"/>
              </w:rPr>
              <w:t xml:space="preserve">- водопроводных</w:t>
            </w:r>
            <w:r/>
          </w:p>
        </w:tc>
        <w:tc>
          <w:tcPr>
            <w:shd w:val="clear" w:color="auto" w:fill="ffffff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%</w:t>
            </w:r>
            <w:r/>
          </w:p>
        </w:tc>
        <w:tc>
          <w:tcPr>
            <w:shd w:val="clear" w:color="auto" w:fill="e0e0e0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67</w:t>
            </w:r>
            <w:r/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27,9</w:t>
            </w:r>
            <w:r/>
          </w:p>
        </w:tc>
        <w:tc>
          <w:tcPr>
            <w:tcW w:w="23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2,4</w:t>
            </w:r>
            <w:r/>
          </w:p>
        </w:tc>
      </w:tr>
      <w:tr>
        <w:tblPrEx/>
        <w:trPr>
          <w:trHeight w:val="243"/>
        </w:trPr>
        <w:tc>
          <w:tcPr>
            <w:tcW w:w="4616" w:type="dxa"/>
            <w:textDirection w:val="lrTb"/>
            <w:noWrap w:val="false"/>
          </w:tcPr>
          <w:p>
            <w:r>
              <w:rPr>
                <w:sz w:val="22"/>
              </w:rPr>
              <w:t xml:space="preserve">- канализационных</w:t>
            </w:r>
            <w:r/>
          </w:p>
        </w:tc>
        <w:tc>
          <w:tcPr>
            <w:shd w:val="clear" w:color="auto" w:fill="ffffff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%</w:t>
            </w:r>
            <w:r/>
          </w:p>
        </w:tc>
        <w:tc>
          <w:tcPr>
            <w:shd w:val="clear" w:color="auto" w:fill="e0e0e0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67</w:t>
            </w:r>
            <w:r/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32,2</w:t>
            </w:r>
            <w:r/>
          </w:p>
        </w:tc>
        <w:tc>
          <w:tcPr>
            <w:tcW w:w="23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2,1</w:t>
            </w:r>
            <w:r/>
          </w:p>
        </w:tc>
      </w:tr>
      <w:tr>
        <w:tblPrEx/>
        <w:trPr>
          <w:trHeight w:val="243"/>
        </w:trPr>
        <w:tc>
          <w:tcPr>
            <w:tcW w:w="4616" w:type="dxa"/>
            <w:textDirection w:val="lrTb"/>
            <w:noWrap w:val="false"/>
          </w:tcPr>
          <w:p>
            <w:r>
              <w:rPr>
                <w:sz w:val="22"/>
              </w:rPr>
              <w:t xml:space="preserve">- тепловых</w:t>
            </w:r>
            <w:r/>
          </w:p>
        </w:tc>
        <w:tc>
          <w:tcPr>
            <w:shd w:val="clear" w:color="auto" w:fill="ffffff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%</w:t>
            </w:r>
            <w:r/>
          </w:p>
        </w:tc>
        <w:tc>
          <w:tcPr>
            <w:shd w:val="clear" w:color="auto" w:fill="e0e0e0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50</w:t>
            </w:r>
            <w:r/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26,2</w:t>
            </w:r>
            <w:r/>
          </w:p>
        </w:tc>
        <w:tc>
          <w:tcPr>
            <w:tcW w:w="23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2,0</w:t>
            </w:r>
            <w:r/>
          </w:p>
        </w:tc>
      </w:tr>
      <w:tr>
        <w:tblPrEx/>
        <w:trPr>
          <w:trHeight w:val="263"/>
        </w:trPr>
        <w:tc>
          <w:tcPr>
            <w:tcW w:w="4616" w:type="dxa"/>
            <w:textDirection w:val="lrTb"/>
            <w:noWrap w:val="false"/>
          </w:tcPr>
          <w:p>
            <w:r>
              <w:rPr>
                <w:sz w:val="22"/>
              </w:rPr>
              <w:t xml:space="preserve">Протяженность автомобильных дорог общего пользования местного значения с твердым покрытием </w:t>
            </w:r>
            <w:r/>
          </w:p>
        </w:tc>
        <w:tc>
          <w:tcPr>
            <w:shd w:val="clear" w:color="auto" w:fill="ffffff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км</w:t>
            </w:r>
            <w:r/>
          </w:p>
        </w:tc>
        <w:tc>
          <w:tcPr>
            <w:shd w:val="clear" w:color="auto" w:fill="e0e0e0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347</w:t>
            </w:r>
            <w:r/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6670,8</w:t>
            </w:r>
            <w:r/>
          </w:p>
        </w:tc>
        <w:tc>
          <w:tcPr>
            <w:tcW w:w="23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-</w:t>
            </w:r>
            <w:r/>
          </w:p>
        </w:tc>
      </w:tr>
      <w:tr>
        <w:tblPrEx/>
        <w:trPr>
          <w:trHeight w:val="505"/>
        </w:trPr>
        <w:tc>
          <w:tcPr>
            <w:tcW w:w="4616" w:type="dxa"/>
            <w:textDirection w:val="lrTb"/>
            <w:noWrap w:val="false"/>
          </w:tcPr>
          <w:p>
            <w:r>
              <w:rPr>
                <w:sz w:val="22"/>
              </w:rPr>
              <w:t xml:space="preserve">Удельный вес автомобильных дорог с твердым покрытием в общей протяженности дорог</w:t>
            </w:r>
            <w:r/>
          </w:p>
        </w:tc>
        <w:tc>
          <w:tcPr>
            <w:shd w:val="clear" w:color="auto" w:fill="ffffff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%</w:t>
            </w:r>
            <w:r/>
          </w:p>
        </w:tc>
        <w:tc>
          <w:tcPr>
            <w:shd w:val="clear" w:color="auto" w:fill="e0e0e0"/>
            <w:tcW w:w="86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44,7</w:t>
            </w:r>
            <w:r/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92,9</w:t>
            </w:r>
            <w:r/>
          </w:p>
        </w:tc>
        <w:tc>
          <w:tcPr>
            <w:tcW w:w="23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0,5</w:t>
            </w:r>
            <w:r/>
          </w:p>
        </w:tc>
      </w:tr>
    </w:tbl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Уровень обеспеченности населения муниципального образования жильем выше, чем по области. В 2011 году площадь жилищ, приходящаяся в среднем на одного жителя, превысила аналогичный показатель по области на 14,0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0"/>
        </w:num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Сложившийся жилищный фонд и его инфраструктура, включая благоустройство, требуют больших </w:t>
      </w:r>
      <w:r>
        <w:rPr>
          <w:color w:val="000000"/>
          <w:sz w:val="28"/>
          <w:szCs w:val="28"/>
        </w:rPr>
        <w:t xml:space="preserve">финансовых</w:t>
      </w:r>
      <w:r>
        <w:rPr>
          <w:color w:val="000000"/>
          <w:sz w:val="28"/>
          <w:szCs w:val="28"/>
        </w:rPr>
        <w:t xml:space="preserve"> расходов как на обновление </w:t>
      </w:r>
      <w:r>
        <w:rPr>
          <w:color w:val="000000"/>
          <w:sz w:val="28"/>
          <w:szCs w:val="28"/>
        </w:rPr>
        <w:t xml:space="preserve">и новое строительство, так и на поддержание объектов </w:t>
      </w:r>
      <w:r>
        <w:rPr>
          <w:sz w:val="28"/>
          <w:szCs w:val="28"/>
        </w:rPr>
        <w:t xml:space="preserve">недвижимости в надлежащем состоянии.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Удельный вес жилищного фонда, оборудованного газом и отоплением, превышает областные показатели. Однако, степень износа водопроводных, тепловых и электрических сетей выше, чем по области.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период с 2007 по 2011 годы  построено и введено в эксплуатацию </w:t>
      </w:r>
      <w:r>
        <w:rPr>
          <w:color w:val="000000"/>
          <w:sz w:val="28"/>
          <w:szCs w:val="28"/>
        </w:rPr>
        <w:t xml:space="preserve">2 водопровода </w:t>
      </w:r>
      <w:r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с.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Волотово, с. </w:t>
      </w:r>
      <w:r>
        <w:rPr>
          <w:color w:val="000000"/>
          <w:sz w:val="28"/>
          <w:szCs w:val="28"/>
        </w:rPr>
        <w:t xml:space="preserve">Малотроицкое</w:t>
      </w:r>
      <w:r>
        <w:rPr>
          <w:color w:val="000000"/>
          <w:sz w:val="28"/>
          <w:szCs w:val="28"/>
        </w:rPr>
        <w:t xml:space="preserve"> в </w:t>
      </w:r>
      <w:r>
        <w:rPr>
          <w:color w:val="000000"/>
          <w:sz w:val="28"/>
          <w:szCs w:val="28"/>
        </w:rPr>
        <w:t xml:space="preserve">36,2 км</w:t>
      </w:r>
      <w:r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система </w:t>
      </w:r>
      <w:r>
        <w:rPr>
          <w:color w:val="000000"/>
          <w:sz w:val="28"/>
          <w:szCs w:val="28"/>
        </w:rPr>
        <w:t xml:space="preserve">водоснабжени</w:t>
      </w:r>
      <w:r>
        <w:rPr>
          <w:color w:val="000000"/>
          <w:sz w:val="28"/>
          <w:szCs w:val="28"/>
        </w:rPr>
        <w:t xml:space="preserve">я в </w:t>
      </w:r>
      <w:r>
        <w:rPr>
          <w:color w:val="000000"/>
          <w:sz w:val="28"/>
          <w:szCs w:val="28"/>
        </w:rPr>
        <w:t xml:space="preserve">с. Новая </w:t>
      </w:r>
      <w:r>
        <w:rPr>
          <w:color w:val="000000"/>
          <w:sz w:val="28"/>
          <w:szCs w:val="28"/>
        </w:rPr>
        <w:t xml:space="preserve">Масловка</w:t>
      </w:r>
      <w:r>
        <w:rPr>
          <w:color w:val="000000"/>
          <w:sz w:val="28"/>
          <w:szCs w:val="28"/>
        </w:rPr>
        <w:t xml:space="preserve"> и с.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Долгая Яруга,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реконстру</w:t>
      </w:r>
      <w:r>
        <w:rPr>
          <w:color w:val="000000"/>
          <w:sz w:val="28"/>
          <w:szCs w:val="28"/>
        </w:rPr>
        <w:t xml:space="preserve">ирован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канализационн</w:t>
      </w:r>
      <w:r>
        <w:rPr>
          <w:color w:val="000000"/>
          <w:sz w:val="28"/>
          <w:szCs w:val="28"/>
        </w:rPr>
        <w:t xml:space="preserve">ый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коллектор </w:t>
      </w:r>
      <w:r>
        <w:rPr>
          <w:color w:val="000000"/>
          <w:sz w:val="28"/>
          <w:szCs w:val="28"/>
        </w:rPr>
        <w:t xml:space="preserve">п.Чернянка</w:t>
      </w:r>
      <w:r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освоено 99,2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numPr>
          <w:ilvl w:val="0"/>
          <w:numId w:val="0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Необходим капитальный ремонт водопроводных, тепловых и канализационных сетей с частичной их реконструкцией, ремонт кровель, подъездов, жилых домов.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numPr>
          <w:ilvl w:val="0"/>
          <w:numId w:val="0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Кроме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того, в водопроводном хозяйстве необходимы дополнительные капитальные вложения  для создания резервных мощностей.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numPr>
          <w:ilvl w:val="0"/>
          <w:numId w:val="0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муниципальном округе для питьевого водоснабжения населения используются подземные воды современного четвертичного и Альб-</w:t>
      </w:r>
      <w:r>
        <w:rPr>
          <w:color w:val="000000"/>
          <w:sz w:val="28"/>
          <w:szCs w:val="28"/>
        </w:rPr>
        <w:t xml:space="preserve">сеноманского</w:t>
      </w:r>
      <w:r>
        <w:rPr>
          <w:color w:val="000000"/>
          <w:sz w:val="28"/>
          <w:szCs w:val="28"/>
        </w:rPr>
        <w:t xml:space="preserve"> водоносных горизонтов. На контроле находится 54 коммунальных водопровода (1 городской и 52 в сельских населенных пунктах) и 1 ведомственный водопровод в с. Орлик.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numPr>
          <w:ilvl w:val="0"/>
          <w:numId w:val="0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Централизованным водоснабжением обеспечено 53 населенных пункта. Количество населения, обеспеченного централизованным водоснабжением составляет 53%.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numPr>
          <w:ilvl w:val="0"/>
          <w:numId w:val="0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 за качеством воды коммунальных водопроводов  осуществляет территориальный отдел </w:t>
      </w:r>
      <w:r>
        <w:rPr>
          <w:color w:val="000000"/>
          <w:sz w:val="28"/>
          <w:szCs w:val="28"/>
        </w:rPr>
        <w:t xml:space="preserve">Роспотребнадзора</w:t>
      </w:r>
      <w:r>
        <w:rPr>
          <w:color w:val="000000"/>
          <w:sz w:val="28"/>
          <w:szCs w:val="28"/>
        </w:rPr>
        <w:t xml:space="preserve"> г. Новый Оскол.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tabs>
          <w:tab w:val="left" w:pos="0" w:leader="none"/>
        </w:tabs>
      </w:pPr>
      <w:r>
        <w:rPr>
          <w:color w:val="000000"/>
          <w:sz w:val="28"/>
          <w:szCs w:val="28"/>
        </w:rPr>
        <w:t xml:space="preserve">В настоящее время в МУП «</w:t>
      </w:r>
      <w:r>
        <w:rPr>
          <w:color w:val="000000"/>
          <w:sz w:val="28"/>
          <w:szCs w:val="28"/>
        </w:rPr>
        <w:t xml:space="preserve">Ремводстрой</w:t>
      </w:r>
      <w:r>
        <w:rPr>
          <w:color w:val="000000"/>
          <w:sz w:val="28"/>
          <w:szCs w:val="28"/>
        </w:rPr>
        <w:t xml:space="preserve">» работают 1 водозабор и 5 отдельно стоящих скважин, а в МУП «Водоканал» - 1 водозабор и 65 отдельно стоящих скважин. За период с 2007 по 2011 годы по санитарно-химическим </w:t>
      </w:r>
      <w:r>
        <w:rPr>
          <w:sz w:val="28"/>
          <w:szCs w:val="28"/>
        </w:rPr>
        <w:t xml:space="preserve">показателям качес</w:t>
      </w:r>
      <w:r>
        <w:rPr>
          <w:sz w:val="28"/>
          <w:szCs w:val="28"/>
        </w:rPr>
        <w:t xml:space="preserve">тво питьевой воды ухудшается. В первую очередь это связано с падением дебета скважин. Загрязнение воды  разнообразно. Приоритетным веществом загрязнения воды городской и сельских водопроводных систем является железо. </w:t>
      </w:r>
      <w:r>
        <w:rPr>
          <w:spacing w:val="-2"/>
          <w:sz w:val="28"/>
          <w:szCs w:val="28"/>
        </w:rPr>
        <w:t xml:space="preserve">Большое количество  железа в воде обозначено проблемой насыщенности его в почве. Количество населения</w:t>
      </w:r>
      <w:r>
        <w:rPr>
          <w:spacing w:val="-2"/>
          <w:sz w:val="28"/>
          <w:szCs w:val="28"/>
        </w:rPr>
        <w:t xml:space="preserve">,</w:t>
      </w:r>
      <w:r>
        <w:rPr>
          <w:spacing w:val="-2"/>
          <w:sz w:val="28"/>
          <w:szCs w:val="28"/>
        </w:rPr>
        <w:t xml:space="preserve">  использующего воду с повышенными концентрациями железа (0,31-1,0 мг/л), составляет 29 </w:t>
      </w:r>
      <w:r>
        <w:rPr>
          <w:spacing w:val="-2"/>
          <w:sz w:val="28"/>
          <w:szCs w:val="28"/>
        </w:rPr>
        <w:t xml:space="preserve">тыс.</w:t>
      </w:r>
      <w:r>
        <w:rPr>
          <w:spacing w:val="-2"/>
          <w:sz w:val="28"/>
          <w:szCs w:val="28"/>
        </w:rPr>
        <w:t xml:space="preserve"> человек (89,4% от общего количества населения МО). </w:t>
      </w:r>
      <w:r/>
    </w:p>
    <w:p>
      <w:pPr>
        <w:ind w:firstLine="708"/>
        <w:jc w:val="both"/>
        <w:tabs>
          <w:tab w:val="left" w:pos="0" w:leader="none"/>
        </w:tabs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В сельских населенных пунктах  приоритетным загрязнителем является  повышенная жесткость (моль/л), что связано с загрязнением источников. Количество населения</w:t>
      </w:r>
      <w:r>
        <w:rPr>
          <w:spacing w:val="-2"/>
          <w:sz w:val="28"/>
          <w:szCs w:val="28"/>
        </w:rPr>
        <w:t xml:space="preserve">,</w:t>
      </w:r>
      <w:r>
        <w:rPr>
          <w:spacing w:val="-2"/>
          <w:sz w:val="28"/>
          <w:szCs w:val="28"/>
        </w:rPr>
        <w:t xml:space="preserve"> находящегося под воздействием этого фактора</w:t>
      </w:r>
      <w:r>
        <w:rPr>
          <w:spacing w:val="-2"/>
          <w:sz w:val="28"/>
          <w:szCs w:val="28"/>
        </w:rPr>
        <w:t xml:space="preserve">, составляет</w:t>
      </w:r>
      <w:r>
        <w:rPr>
          <w:spacing w:val="-2"/>
          <w:sz w:val="28"/>
          <w:szCs w:val="28"/>
        </w:rPr>
        <w:t xml:space="preserve">  примерно 4 </w:t>
      </w:r>
      <w:r>
        <w:rPr>
          <w:spacing w:val="-2"/>
          <w:sz w:val="28"/>
          <w:szCs w:val="28"/>
        </w:rPr>
        <w:t xml:space="preserve">тыс.</w:t>
      </w:r>
      <w:r>
        <w:rPr>
          <w:spacing w:val="-2"/>
          <w:sz w:val="28"/>
          <w:szCs w:val="28"/>
        </w:rPr>
        <w:t xml:space="preserve"> человек (12,3% от общего количества населения района).</w:t>
      </w:r>
      <w:r>
        <w:rPr>
          <w:spacing w:val="-2"/>
          <w:sz w:val="28"/>
          <w:szCs w:val="28"/>
        </w:rPr>
        <w:tab/>
      </w:r>
      <w:r>
        <w:rPr>
          <w:spacing w:val="-2"/>
          <w:sz w:val="28"/>
          <w:szCs w:val="28"/>
        </w:rPr>
      </w:r>
      <w:r>
        <w:rPr>
          <w:spacing w:val="-2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08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2011 году осуществлялась реализация областной программы «Обеспечение населения чистой питьевой водой на 2011-2013 годы». Согласно указанной программе осуществлялись проектные работы на </w:t>
      </w:r>
      <w:r>
        <w:rPr>
          <w:rFonts w:ascii="Times New Roman" w:hAnsi="Times New Roman"/>
          <w:color w:val="000000"/>
          <w:sz w:val="28"/>
          <w:szCs w:val="28"/>
        </w:rPr>
        <w:t xml:space="preserve">реконструкцию сетей водоснабжения и строительства водозаборных скважин в девяти </w:t>
      </w:r>
      <w:r>
        <w:rPr>
          <w:rFonts w:ascii="Times New Roman" w:hAnsi="Times New Roman"/>
          <w:color w:val="000000"/>
          <w:sz w:val="28"/>
          <w:szCs w:val="28"/>
        </w:rPr>
        <w:t xml:space="preserve">населенных пунктах</w:t>
      </w:r>
      <w:r>
        <w:rPr>
          <w:rFonts w:ascii="Times New Roman" w:hAnsi="Times New Roman"/>
          <w:color w:val="000000"/>
          <w:sz w:val="28"/>
          <w:szCs w:val="28"/>
        </w:rPr>
        <w:t xml:space="preserve">, стои</w:t>
      </w:r>
      <w:r>
        <w:rPr>
          <w:rFonts w:ascii="Times New Roman" w:hAnsi="Times New Roman"/>
          <w:color w:val="000000"/>
          <w:sz w:val="28"/>
          <w:szCs w:val="28"/>
        </w:rPr>
        <w:t xml:space="preserve">мость работ составила 17,9 млн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  <w:t xml:space="preserve"> руб.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ind w:firstLine="708"/>
        <w:jc w:val="both"/>
        <w:tabs>
          <w:tab w:val="left" w:pos="0" w:leader="none"/>
        </w:tabs>
      </w:pPr>
      <w:r>
        <w:rPr>
          <w:spacing w:val="-2"/>
          <w:sz w:val="28"/>
          <w:szCs w:val="28"/>
        </w:rPr>
        <w:t xml:space="preserve">В сельских поселениях отсутствует система водоотведения от жилых и общественных построек. Население использует септики и выгребные ямы.</w:t>
      </w:r>
      <w:r/>
    </w:p>
    <w:p>
      <w:pPr>
        <w:numPr>
          <w:ilvl w:val="0"/>
          <w:numId w:val="0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Удельный вес автомобильных дорог с твердым покрытием в общей протяженности </w:t>
      </w:r>
      <w:r>
        <w:rPr>
          <w:sz w:val="28"/>
          <w:szCs w:val="28"/>
        </w:rPr>
        <w:t xml:space="preserve">дорог составляет 44,7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, в то время как в среднем по области этот показатель выше. Всего</w:t>
      </w:r>
      <w:r>
        <w:rPr>
          <w:color w:val="000000"/>
          <w:sz w:val="28"/>
          <w:szCs w:val="28"/>
        </w:rPr>
        <w:t xml:space="preserve"> за период с 2007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г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по 2011 г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построено </w:t>
      </w:r>
      <w:r>
        <w:rPr>
          <w:color w:val="000000"/>
          <w:sz w:val="28"/>
          <w:szCs w:val="28"/>
        </w:rPr>
        <w:t xml:space="preserve">139,3 км</w:t>
      </w:r>
      <w:r>
        <w:rPr>
          <w:color w:val="000000"/>
          <w:sz w:val="28"/>
          <w:szCs w:val="28"/>
        </w:rPr>
        <w:t xml:space="preserve"> дорог, освоено 398,5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numPr>
          <w:ilvl w:val="0"/>
          <w:numId w:val="0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Сложным остается решение вопроса обеспечения жильем очередников. По состоянию на 01.01.2012 г. на жилищном учете состоит 229 семей, или 580 че</w:t>
      </w:r>
      <w:r>
        <w:rPr>
          <w:color w:val="000000"/>
          <w:sz w:val="28"/>
          <w:szCs w:val="28"/>
        </w:rPr>
        <w:t xml:space="preserve">ловек</w:t>
      </w:r>
      <w:r>
        <w:rPr>
          <w:color w:val="000000"/>
          <w:sz w:val="28"/>
          <w:szCs w:val="28"/>
        </w:rPr>
        <w:t xml:space="preserve"> или 1,79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от общего числа жителей.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08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 числа очередников в общежитиях проживает 8 семей. При этом 98 семей состо</w:t>
      </w:r>
      <w:r>
        <w:rPr>
          <w:rFonts w:ascii="Times New Roman" w:hAnsi="Times New Roman"/>
          <w:color w:val="000000"/>
          <w:sz w:val="28"/>
          <w:szCs w:val="28"/>
        </w:rPr>
        <w:t xml:space="preserve">я</w:t>
      </w:r>
      <w:r>
        <w:rPr>
          <w:rFonts w:ascii="Times New Roman" w:hAnsi="Times New Roman"/>
          <w:color w:val="000000"/>
          <w:sz w:val="28"/>
          <w:szCs w:val="28"/>
        </w:rPr>
        <w:t xml:space="preserve">т на учете для получения жилья 10 лет и более.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08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Разработаны, утверждены и реализов</w:t>
      </w:r>
      <w:r>
        <w:rPr>
          <w:rFonts w:ascii="Times New Roman" w:hAnsi="Times New Roman"/>
          <w:color w:val="000000"/>
          <w:sz w:val="28"/>
          <w:szCs w:val="28"/>
        </w:rPr>
        <w:t xml:space="preserve">аны</w:t>
      </w:r>
      <w:r>
        <w:rPr>
          <w:rFonts w:ascii="Times New Roman" w:hAnsi="Times New Roman"/>
          <w:color w:val="000000"/>
          <w:sz w:val="28"/>
          <w:szCs w:val="28"/>
        </w:rPr>
        <w:t xml:space="preserve"> в 2011</w:t>
      </w:r>
      <w:r>
        <w:rPr>
          <w:rFonts w:ascii="Times New Roman" w:hAnsi="Times New Roman"/>
          <w:color w:val="000000"/>
          <w:sz w:val="28"/>
          <w:szCs w:val="28"/>
        </w:rPr>
        <w:t xml:space="preserve"> году Программы</w:t>
      </w:r>
      <w:r>
        <w:rPr>
          <w:rFonts w:ascii="Times New Roman" w:hAnsi="Times New Roman"/>
          <w:color w:val="000000"/>
          <w:sz w:val="28"/>
          <w:szCs w:val="28"/>
        </w:rPr>
        <w:t xml:space="preserve"> проведения капитального ремонта многоквартирных жилых домов  и переселения граждан из аварийного жилого фонда. В 2011 году капитально отремонтировано 2 дома на общую сумму 6,7 </w:t>
      </w:r>
      <w:r>
        <w:rPr>
          <w:rFonts w:ascii="Times New Roman" w:hAnsi="Times New Roman"/>
          <w:color w:val="000000"/>
          <w:sz w:val="28"/>
          <w:szCs w:val="28"/>
        </w:rPr>
        <w:t xml:space="preserve">млн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  <w:t xml:space="preserve"> руб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Для переселенцев произведено строительство в </w:t>
      </w:r>
      <w:r>
        <w:rPr>
          <w:rFonts w:ascii="Times New Roman" w:hAnsi="Times New Roman"/>
          <w:color w:val="000000"/>
          <w:sz w:val="28"/>
          <w:szCs w:val="28"/>
        </w:rPr>
        <w:t xml:space="preserve">п.Чернянка</w:t>
      </w:r>
      <w:r>
        <w:rPr>
          <w:rFonts w:ascii="Times New Roman" w:hAnsi="Times New Roman"/>
          <w:color w:val="000000"/>
          <w:sz w:val="28"/>
          <w:szCs w:val="28"/>
        </w:rPr>
        <w:t xml:space="preserve"> трех многоквартирных жилых дом</w:t>
      </w:r>
      <w:r>
        <w:rPr>
          <w:rFonts w:ascii="Times New Roman" w:hAnsi="Times New Roman"/>
          <w:color w:val="000000"/>
          <w:sz w:val="28"/>
          <w:szCs w:val="28"/>
        </w:rPr>
        <w:t xml:space="preserve">ов</w:t>
      </w:r>
      <w:r>
        <w:rPr>
          <w:rFonts w:ascii="Times New Roman" w:hAnsi="Times New Roman"/>
          <w:color w:val="000000"/>
          <w:sz w:val="28"/>
          <w:szCs w:val="28"/>
        </w:rPr>
        <w:t xml:space="preserve"> площадью 300,7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кв.м</w:t>
      </w:r>
      <w:r>
        <w:rPr>
          <w:rFonts w:ascii="Times New Roman" w:hAnsi="Times New Roman"/>
          <w:color w:val="000000"/>
          <w:sz w:val="28"/>
          <w:szCs w:val="28"/>
        </w:rPr>
        <w:t xml:space="preserve">, и</w:t>
      </w:r>
      <w:r>
        <w:rPr>
          <w:rFonts w:ascii="Times New Roman" w:hAnsi="Times New Roman"/>
          <w:color w:val="000000"/>
          <w:sz w:val="28"/>
          <w:szCs w:val="28"/>
        </w:rPr>
        <w:t xml:space="preserve">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с.Кочегуры</w:t>
      </w: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</w:rPr>
        <w:t xml:space="preserve">тр</w:t>
      </w:r>
      <w:r>
        <w:rPr>
          <w:rFonts w:ascii="Times New Roman" w:hAnsi="Times New Roman"/>
          <w:color w:val="000000"/>
          <w:sz w:val="28"/>
          <w:szCs w:val="28"/>
        </w:rPr>
        <w:t xml:space="preserve">ех</w:t>
      </w:r>
      <w:r>
        <w:rPr>
          <w:rFonts w:ascii="Times New Roman" w:hAnsi="Times New Roman"/>
          <w:color w:val="000000"/>
          <w:sz w:val="28"/>
          <w:szCs w:val="28"/>
        </w:rPr>
        <w:t xml:space="preserve"> многоквартирных жилых дом</w:t>
      </w:r>
      <w:r>
        <w:rPr>
          <w:rFonts w:ascii="Times New Roman" w:hAnsi="Times New Roman"/>
          <w:color w:val="000000"/>
          <w:sz w:val="28"/>
          <w:szCs w:val="28"/>
        </w:rPr>
        <w:t xml:space="preserve">ов</w:t>
      </w:r>
      <w:r>
        <w:rPr>
          <w:rFonts w:ascii="Times New Roman" w:hAnsi="Times New Roman"/>
          <w:color w:val="000000"/>
          <w:sz w:val="28"/>
          <w:szCs w:val="28"/>
        </w:rPr>
        <w:t xml:space="preserve"> площадью 340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кв.м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08"/>
        <w:spacing w:after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Большой объем работы по реализации федеральных, областных и местных программ, касающихся строительства, реконструкции и капитального ремонта объектов предстоит выполнить </w:t>
      </w:r>
      <w:r>
        <w:rPr>
          <w:rFonts w:ascii="Times New Roman" w:hAnsi="Times New Roman"/>
          <w:sz w:val="28"/>
          <w:szCs w:val="28"/>
        </w:rPr>
        <w:t xml:space="preserve"> в 2012 году.</w:t>
      </w:r>
      <w:r>
        <w:rPr>
          <w:rFonts w:ascii="Times New Roman" w:hAnsi="Times New Roman"/>
          <w:color w:val="ff0000"/>
          <w:sz w:val="28"/>
          <w:szCs w:val="28"/>
        </w:rPr>
      </w:r>
      <w:r>
        <w:rPr>
          <w:rFonts w:ascii="Times New Roman" w:hAnsi="Times New Roman"/>
          <w:color w:val="ff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08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2010 году </w:t>
      </w:r>
      <w:r>
        <w:rPr>
          <w:rFonts w:ascii="Times New Roman" w:hAnsi="Times New Roman"/>
          <w:color w:val="000000"/>
          <w:sz w:val="28"/>
          <w:szCs w:val="28"/>
        </w:rPr>
        <w:t xml:space="preserve">в рамках </w:t>
      </w:r>
      <w:r>
        <w:rPr>
          <w:rFonts w:ascii="Times New Roman" w:hAnsi="Times New Roman"/>
          <w:color w:val="000000"/>
          <w:sz w:val="28"/>
          <w:szCs w:val="28"/>
        </w:rPr>
        <w:t xml:space="preserve">Программ</w:t>
      </w:r>
      <w:r>
        <w:rPr>
          <w:rFonts w:ascii="Times New Roman" w:hAnsi="Times New Roman"/>
          <w:color w:val="000000"/>
          <w:sz w:val="28"/>
          <w:szCs w:val="28"/>
        </w:rPr>
        <w:t xml:space="preserve">ы</w:t>
      </w:r>
      <w:r>
        <w:rPr>
          <w:rFonts w:ascii="Times New Roman" w:hAnsi="Times New Roman"/>
          <w:color w:val="000000"/>
          <w:sz w:val="28"/>
          <w:szCs w:val="28"/>
        </w:rPr>
        <w:t xml:space="preserve"> по переводу на индивидуальное отопление</w:t>
      </w:r>
      <w:r>
        <w:rPr>
          <w:rFonts w:ascii="Times New Roman" w:hAnsi="Times New Roman"/>
          <w:color w:val="000000"/>
          <w:sz w:val="28"/>
          <w:szCs w:val="28"/>
        </w:rPr>
        <w:t xml:space="preserve"> многоквартирных жилых домов переведены 4 жилых дома </w:t>
      </w:r>
      <w:r>
        <w:rPr>
          <w:rFonts w:ascii="Times New Roman" w:hAnsi="Times New Roman"/>
          <w:color w:val="000000"/>
          <w:sz w:val="28"/>
          <w:szCs w:val="28"/>
        </w:rPr>
        <w:t xml:space="preserve">(120 квартир) в селах </w:t>
      </w:r>
      <w:r>
        <w:rPr>
          <w:rFonts w:ascii="Times New Roman" w:hAnsi="Times New Roman"/>
          <w:color w:val="000000"/>
          <w:sz w:val="28"/>
          <w:szCs w:val="28"/>
        </w:rPr>
        <w:t xml:space="preserve">Ездочное</w:t>
      </w:r>
      <w:r>
        <w:rPr>
          <w:rFonts w:ascii="Times New Roman" w:hAnsi="Times New Roman"/>
          <w:color w:val="000000"/>
          <w:sz w:val="28"/>
          <w:szCs w:val="28"/>
        </w:rPr>
        <w:t xml:space="preserve">, и Русская </w:t>
      </w:r>
      <w:r>
        <w:rPr>
          <w:rFonts w:ascii="Times New Roman" w:hAnsi="Times New Roman"/>
          <w:color w:val="000000"/>
          <w:sz w:val="28"/>
          <w:szCs w:val="28"/>
        </w:rPr>
        <w:t xml:space="preserve">Халань</w:t>
      </w:r>
      <w:r>
        <w:rPr>
          <w:rFonts w:ascii="Times New Roman" w:hAnsi="Times New Roman"/>
          <w:color w:val="000000"/>
          <w:sz w:val="28"/>
          <w:szCs w:val="28"/>
        </w:rPr>
        <w:t xml:space="preserve">, освоено 9,2 </w:t>
      </w:r>
      <w:r>
        <w:rPr>
          <w:rFonts w:ascii="Times New Roman" w:hAnsi="Times New Roman"/>
          <w:color w:val="000000"/>
          <w:sz w:val="28"/>
          <w:szCs w:val="28"/>
        </w:rPr>
        <w:t xml:space="preserve">млн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  <w:t xml:space="preserve"> руб.</w:t>
      </w:r>
      <w:r>
        <w:rPr>
          <w:rFonts w:ascii="Times New Roman" w:hAnsi="Times New Roman"/>
          <w:color w:val="000000"/>
          <w:sz w:val="28"/>
          <w:szCs w:val="28"/>
        </w:rPr>
        <w:t xml:space="preserve"> бюджетных и внебюджетных средств.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numPr>
          <w:ilvl w:val="0"/>
          <w:numId w:val="0"/>
        </w:num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решения назревших проблем в содержании муниципального жилья и обеспече</w:t>
      </w:r>
      <w:r>
        <w:rPr>
          <w:color w:val="000000"/>
          <w:sz w:val="28"/>
          <w:szCs w:val="28"/>
        </w:rPr>
        <w:t xml:space="preserve">нии</w:t>
      </w:r>
      <w:r>
        <w:rPr>
          <w:color w:val="000000"/>
          <w:sz w:val="28"/>
          <w:szCs w:val="28"/>
        </w:rPr>
        <w:t xml:space="preserve"> населения коммунальными услугами в муниципальном образовании разработаны и утверждены «Программа реформирования жилищно-коммунального хозяйства», «Программа энергосбережения и повышения энергетической эффективности на 2011-2015</w:t>
      </w:r>
      <w:r>
        <w:rPr>
          <w:color w:val="000000"/>
          <w:sz w:val="28"/>
          <w:szCs w:val="28"/>
        </w:rPr>
        <w:t xml:space="preserve"> годы», согласно которой  активно ведутся работы по реализации данной программы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а также </w:t>
      </w:r>
      <w:r>
        <w:rPr>
          <w:color w:val="000000"/>
          <w:sz w:val="28"/>
          <w:szCs w:val="28"/>
        </w:rPr>
        <w:t xml:space="preserve">инвестиционная Программа по строительству полигона ТБО и развитию объектов коммунальной инфраструктуры в части захоронения ТБО </w:t>
      </w:r>
      <w:r>
        <w:rPr>
          <w:color w:val="000000"/>
          <w:sz w:val="28"/>
          <w:szCs w:val="28"/>
        </w:rPr>
        <w:t xml:space="preserve"> в период 2011-2013 год</w:t>
      </w:r>
      <w:r>
        <w:rPr>
          <w:color w:val="000000"/>
          <w:sz w:val="28"/>
          <w:szCs w:val="28"/>
        </w:rPr>
        <w:t xml:space="preserve">ов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Рост оплаты за жилье и коммунальные услуги происходит одновременно с принятием мер по социальной защите населения в виде предоставления субсидий и действующих льгот. </w:t>
      </w:r>
      <w:r>
        <w:rPr>
          <w:color w:val="000000"/>
          <w:sz w:val="28"/>
          <w:szCs w:val="28"/>
        </w:rPr>
        <w:t xml:space="preserve">В 2011 году по сравнению в 2010 годом задолженность населения за жилищно-коммунальные услуги сократились в 2,8 раза и по состоянию на 1 января 2012 года составили 8,8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муниципальном образовании ведутся работы по ремонту жилого фонда собственных и наемных помещений. Стабильно оплачиваются услуги ремонта и содержания жилья.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jc w:val="right"/>
        <w:spacing w:after="0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Таблица 10</w:t>
      </w:r>
      <w:r>
        <w:rPr>
          <w:rFonts w:ascii="Times New Roman" w:hAnsi="Times New Roman"/>
          <w:i/>
          <w:color w:val="000000"/>
          <w:sz w:val="28"/>
          <w:szCs w:val="28"/>
        </w:rPr>
      </w:r>
      <w:r>
        <w:rPr>
          <w:rFonts w:ascii="Times New Roman" w:hAnsi="Times New Roman"/>
          <w:i/>
          <w:color w:val="000000"/>
          <w:sz w:val="28"/>
          <w:szCs w:val="28"/>
        </w:rPr>
      </w:r>
    </w:p>
    <w:p>
      <w:pPr>
        <w:pStyle w:val="104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Затраты на текущий и капитальный ремонт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4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объектов ЖКХ в МО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tbl>
      <w:tblPr>
        <w:tblW w:w="96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4433"/>
        <w:gridCol w:w="1050"/>
        <w:gridCol w:w="1050"/>
        <w:gridCol w:w="1051"/>
        <w:gridCol w:w="1050"/>
        <w:gridCol w:w="1051"/>
      </w:tblGrid>
      <w:tr>
        <w:tblPrEx/>
        <w:trPr>
          <w:trHeight w:val="548"/>
        </w:trPr>
        <w:tc>
          <w:tcPr>
            <w:tcW w:w="4433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Показатели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2007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2008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2009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2010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2011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264"/>
        </w:trPr>
        <w:tc>
          <w:tcPr>
            <w:tcW w:w="4433" w:type="dxa"/>
            <w:textDirection w:val="lrTb"/>
            <w:noWrap w:val="false"/>
          </w:tcPr>
          <w:p>
            <w:pPr>
              <w:pStyle w:val="10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Капитальный ремонт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</w:r>
            <w:r>
              <w:rPr>
                <w:b/>
                <w:i/>
                <w:color w:val="000000"/>
              </w:rPr>
            </w:r>
            <w:r>
              <w:rPr>
                <w:b/>
                <w:i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</w:r>
            <w:r>
              <w:rPr>
                <w:b/>
                <w:i/>
                <w:color w:val="000000"/>
              </w:rPr>
            </w:r>
            <w:r>
              <w:rPr>
                <w:b/>
                <w:i/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</w:r>
            <w:r>
              <w:rPr>
                <w:b/>
                <w:i/>
                <w:color w:val="000000"/>
              </w:rPr>
            </w:r>
            <w:r>
              <w:rPr>
                <w:b/>
                <w:i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</w:r>
            <w:r>
              <w:rPr>
                <w:b/>
                <w:i/>
                <w:color w:val="000000"/>
              </w:rPr>
            </w:r>
            <w:r>
              <w:rPr>
                <w:b/>
                <w:i/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pStyle w:val="10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284"/>
        </w:trPr>
        <w:tc>
          <w:tcPr>
            <w:tcW w:w="4433" w:type="dxa"/>
            <w:textDirection w:val="lrTb"/>
            <w:noWrap w:val="false"/>
          </w:tcPr>
          <w:p>
            <w:pPr>
              <w:pStyle w:val="1008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Потребность, </w:t>
            </w:r>
            <w:r>
              <w:rPr>
                <w:i w:val="0"/>
                <w:color w:val="000000"/>
              </w:rPr>
              <w:t xml:space="preserve">тыс.</w:t>
            </w:r>
            <w:r>
              <w:rPr>
                <w:i w:val="0"/>
                <w:color w:val="000000"/>
              </w:rPr>
              <w:t xml:space="preserve"> руб.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1 793,4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1981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1817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1068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</w:tr>
      <w:tr>
        <w:tblPrEx/>
        <w:trPr>
          <w:trHeight w:val="264"/>
        </w:trPr>
        <w:tc>
          <w:tcPr>
            <w:tcW w:w="4433" w:type="dxa"/>
            <w:textDirection w:val="lrTb"/>
            <w:noWrap w:val="false"/>
          </w:tcPr>
          <w:p>
            <w:pPr>
              <w:pStyle w:val="1008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Затраты, </w:t>
            </w:r>
            <w:r>
              <w:rPr>
                <w:i w:val="0"/>
                <w:color w:val="000000"/>
              </w:rPr>
              <w:t xml:space="preserve">тыс.</w:t>
            </w:r>
            <w:r>
              <w:rPr>
                <w:i w:val="0"/>
                <w:color w:val="000000"/>
              </w:rPr>
              <w:t xml:space="preserve"> руб.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1 281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1312,5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1485,7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1107,5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541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</w:tr>
      <w:tr>
        <w:tblPrEx/>
        <w:trPr>
          <w:trHeight w:val="284"/>
        </w:trPr>
        <w:tc>
          <w:tcPr>
            <w:tcW w:w="4433" w:type="dxa"/>
            <w:textDirection w:val="lrTb"/>
            <w:noWrap w:val="false"/>
          </w:tcPr>
          <w:p>
            <w:pPr>
              <w:pStyle w:val="1008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Степень удовлетворения потребности,</w:t>
            </w:r>
            <w:r>
              <w:rPr>
                <w:i w:val="0"/>
                <w:color w:val="000000"/>
              </w:rPr>
              <w:t xml:space="preserve">%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71,4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69,7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60,9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50,7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</w:tr>
      <w:tr>
        <w:tblPrEx/>
        <w:trPr>
          <w:trHeight w:val="264"/>
        </w:trPr>
        <w:tc>
          <w:tcPr>
            <w:tcW w:w="4433" w:type="dxa"/>
            <w:textDirection w:val="lrTb"/>
            <w:noWrap w:val="false"/>
          </w:tcPr>
          <w:p>
            <w:pPr>
              <w:pStyle w:val="1008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Текущий ремонт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</w:r>
            <w:r>
              <w:rPr>
                <w:b/>
                <w:i/>
                <w:color w:val="000000"/>
              </w:rPr>
            </w:r>
            <w:r>
              <w:rPr>
                <w:b/>
                <w:i/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</w:r>
            <w:r>
              <w:rPr>
                <w:b/>
                <w:i/>
                <w:color w:val="000000"/>
              </w:rPr>
            </w:r>
            <w:r>
              <w:rPr>
                <w:b/>
                <w:i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pStyle w:val="10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284"/>
        </w:trPr>
        <w:tc>
          <w:tcPr>
            <w:tcW w:w="4433" w:type="dxa"/>
            <w:textDirection w:val="lrTb"/>
            <w:noWrap w:val="false"/>
          </w:tcPr>
          <w:p>
            <w:pPr>
              <w:pStyle w:val="1008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Потребность, </w:t>
            </w:r>
            <w:r>
              <w:rPr>
                <w:i w:val="0"/>
                <w:color w:val="000000"/>
              </w:rPr>
              <w:t xml:space="preserve">тыс.</w:t>
            </w:r>
            <w:r>
              <w:rPr>
                <w:i w:val="0"/>
                <w:color w:val="000000"/>
              </w:rPr>
              <w:t xml:space="preserve"> руб.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1 521,8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1255,4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1476,9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1737,5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1906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</w:tr>
      <w:tr>
        <w:tblPrEx/>
        <w:trPr>
          <w:trHeight w:val="264"/>
        </w:trPr>
        <w:tc>
          <w:tcPr>
            <w:tcW w:w="4433" w:type="dxa"/>
            <w:textDirection w:val="lrTb"/>
            <w:noWrap w:val="false"/>
          </w:tcPr>
          <w:p>
            <w:pPr>
              <w:pStyle w:val="1008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Затраты, </w:t>
            </w:r>
            <w:r>
              <w:rPr>
                <w:i w:val="0"/>
                <w:color w:val="000000"/>
              </w:rPr>
              <w:t xml:space="preserve">тыс.</w:t>
            </w:r>
            <w:r>
              <w:rPr>
                <w:i w:val="0"/>
                <w:color w:val="000000"/>
              </w:rPr>
              <w:t xml:space="preserve"> руб.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1 087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885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1135,7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1277,1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1747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</w:tr>
      <w:tr>
        <w:tblPrEx/>
        <w:trPr>
          <w:trHeight w:val="284"/>
        </w:trPr>
        <w:tc>
          <w:tcPr>
            <w:tcW w:w="4433" w:type="dxa"/>
            <w:textDirection w:val="lrTb"/>
            <w:noWrap w:val="false"/>
          </w:tcPr>
          <w:p>
            <w:pPr>
              <w:pStyle w:val="1008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Степень удовлетворения потребности,</w:t>
            </w:r>
            <w:r>
              <w:rPr>
                <w:i w:val="0"/>
                <w:color w:val="000000"/>
              </w:rPr>
              <w:t xml:space="preserve">%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71,4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70,5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73,5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  <w:tc>
          <w:tcPr>
            <w:tcW w:w="1051" w:type="dxa"/>
            <w:textDirection w:val="lrTb"/>
            <w:noWrap w:val="false"/>
          </w:tcPr>
          <w:p>
            <w:pPr>
              <w:pStyle w:val="1008"/>
              <w:jc w:val="center"/>
              <w:rPr>
                <w:i w:val="0"/>
                <w:color w:val="000000"/>
              </w:rPr>
            </w:pPr>
            <w:r>
              <w:rPr>
                <w:i w:val="0"/>
                <w:color w:val="000000"/>
              </w:rPr>
              <w:t xml:space="preserve">91,7</w:t>
            </w:r>
            <w:r>
              <w:rPr>
                <w:i w:val="0"/>
                <w:color w:val="000000"/>
              </w:rPr>
            </w:r>
            <w:r>
              <w:rPr>
                <w:i w:val="0"/>
                <w:color w:val="000000"/>
              </w:rPr>
            </w:r>
          </w:p>
        </w:tc>
      </w:tr>
    </w:tbl>
    <w:p>
      <w:pPr>
        <w:pStyle w:val="1032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</w:r>
      <w:r>
        <w:rPr>
          <w:rFonts w:ascii="Times New Roman" w:hAnsi="Times New Roman"/>
          <w:color w:val="ff0000"/>
          <w:sz w:val="28"/>
          <w:szCs w:val="28"/>
        </w:rPr>
      </w:r>
      <w:r>
        <w:rPr>
          <w:rFonts w:ascii="Times New Roman" w:hAnsi="Times New Roman"/>
          <w:color w:val="ff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Потребности капитального ремонта складываются из затрат на капитальный ремонт многоквартирных жилых домов, замену ветхих водопроводных сетей, </w:t>
      </w:r>
      <w:r>
        <w:rPr>
          <w:rFonts w:ascii="Times New Roman" w:hAnsi="Times New Roman"/>
          <w:color w:val="000000"/>
          <w:sz w:val="28"/>
          <w:szCs w:val="28"/>
        </w:rPr>
        <w:t xml:space="preserve">ремонт </w:t>
      </w:r>
      <w:r>
        <w:rPr>
          <w:rFonts w:ascii="Times New Roman" w:hAnsi="Times New Roman"/>
          <w:color w:val="000000"/>
          <w:sz w:val="28"/>
          <w:szCs w:val="28"/>
        </w:rPr>
        <w:t xml:space="preserve">котельных</w:t>
      </w:r>
      <w:r>
        <w:rPr>
          <w:rFonts w:ascii="Times New Roman" w:hAnsi="Times New Roman"/>
          <w:color w:val="000000"/>
          <w:sz w:val="28"/>
          <w:szCs w:val="28"/>
        </w:rPr>
        <w:t xml:space="preserve"> и замену</w:t>
      </w:r>
      <w:r>
        <w:rPr>
          <w:rFonts w:ascii="Times New Roman" w:hAnsi="Times New Roman"/>
          <w:color w:val="000000"/>
          <w:sz w:val="28"/>
          <w:szCs w:val="28"/>
        </w:rPr>
        <w:t xml:space="preserve"> участков теплов</w:t>
      </w:r>
      <w:r>
        <w:rPr>
          <w:rFonts w:ascii="Times New Roman" w:hAnsi="Times New Roman"/>
          <w:color w:val="000000"/>
          <w:sz w:val="28"/>
          <w:szCs w:val="28"/>
        </w:rPr>
        <w:t xml:space="preserve">ых сетей, капитальный ремонт канализационно-насосных станций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видно из данных таблицы, затраты на капитальный ремонт объектов ЖКХ за анализируемый период  снизились в 2,4 раза, а на текущий ремонт увеличились в 1,6 раза. Однако нужны более значительные затраты в связи с большой изношенностью сетей.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Средний физический износ жилых домов составляет 48</w:t>
      </w:r>
      <w:r>
        <w:rPr>
          <w:rFonts w:ascii="Times New Roman" w:hAnsi="Times New Roman"/>
          <w:sz w:val="28"/>
          <w:szCs w:val="28"/>
        </w:rPr>
        <w:t xml:space="preserve">%</w:t>
      </w:r>
      <w:r>
        <w:rPr>
          <w:rFonts w:ascii="Times New Roman" w:hAnsi="Times New Roman"/>
          <w:sz w:val="28"/>
          <w:szCs w:val="28"/>
        </w:rPr>
        <w:t xml:space="preserve">, а 3,5</w:t>
      </w:r>
      <w:r>
        <w:rPr>
          <w:rFonts w:ascii="Times New Roman" w:hAnsi="Times New Roman"/>
          <w:sz w:val="28"/>
          <w:szCs w:val="28"/>
        </w:rPr>
        <w:t xml:space="preserve">%</w:t>
      </w:r>
      <w:r>
        <w:rPr>
          <w:rFonts w:ascii="Times New Roman" w:hAnsi="Times New Roman"/>
          <w:sz w:val="28"/>
          <w:szCs w:val="28"/>
        </w:rPr>
        <w:t xml:space="preserve"> жилого фонда </w:t>
      </w: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с износом более 70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процентов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Обеспечение жителей качественными жилищно-коммунальными услугами сегодня является одной из острейших проблем для администрации района, в связи с чем назрела необходимость реформирования и модернизации жилищно-коммунального комплекса. </w:t>
      </w:r>
      <w:r>
        <w:rPr>
          <w:rFonts w:ascii="Times New Roman" w:hAnsi="Times New Roman"/>
          <w:b/>
          <w:color w:val="000000"/>
          <w:sz w:val="28"/>
          <w:szCs w:val="28"/>
        </w:rPr>
      </w:r>
      <w:r>
        <w:rPr>
          <w:rFonts w:ascii="Times New Roman" w:hAnsi="Times New Roman"/>
          <w:b/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1.2.</w:t>
      </w:r>
      <w:r>
        <w:rPr>
          <w:b/>
          <w:color w:val="000000"/>
          <w:sz w:val="28"/>
          <w:szCs w:val="28"/>
        </w:rPr>
        <w:t xml:space="preserve">5</w:t>
      </w:r>
      <w:r>
        <w:rPr>
          <w:b/>
          <w:color w:val="000000"/>
          <w:sz w:val="28"/>
          <w:szCs w:val="28"/>
        </w:rPr>
        <w:t xml:space="preserve">. Строительство жилья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both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В соответствии с основными направлениями приоритетного национального прое</w:t>
      </w:r>
      <w:r>
        <w:rPr>
          <w:color w:val="000000"/>
          <w:sz w:val="28"/>
          <w:szCs w:val="28"/>
        </w:rPr>
        <w:t xml:space="preserve">кта «Дос</w:t>
      </w:r>
      <w:r>
        <w:rPr>
          <w:color w:val="000000"/>
          <w:sz w:val="28"/>
          <w:szCs w:val="28"/>
        </w:rPr>
        <w:t xml:space="preserve">тупное и комфортное жилье – гражданам России»  и Стратегии развития жилищного строительства на территории Белгородской области до 2015 года в муниципальном образовании активно ведется жилищное строительство. Микрорайоны индивидуального жилищного строительс</w:t>
      </w:r>
      <w:r>
        <w:rPr>
          <w:color w:val="000000"/>
          <w:sz w:val="28"/>
          <w:szCs w:val="28"/>
        </w:rPr>
        <w:t xml:space="preserve">тва обеспечиваются инженерной инфраструктурой, автомобильными дорогами, оказывается финансово-кредитная поддержка застройщикам.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1</w:t>
      </w:r>
      <w:r>
        <w:rPr>
          <w:i/>
          <w:color w:val="000000"/>
          <w:sz w:val="28"/>
          <w:szCs w:val="28"/>
        </w:rPr>
        <w:t xml:space="preserve">1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Показатели по строительству жилья в МО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right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  <w:r>
        <w:rPr>
          <w:color w:val="ff0000"/>
        </w:rPr>
      </w:r>
    </w:p>
    <w:tbl>
      <w:tblPr>
        <w:tblW w:w="97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994"/>
        <w:gridCol w:w="954"/>
        <w:gridCol w:w="954"/>
        <w:gridCol w:w="955"/>
        <w:gridCol w:w="954"/>
        <w:gridCol w:w="955"/>
      </w:tblGrid>
      <w:tr>
        <w:tblPrEx/>
        <w:trPr>
          <w:trHeight w:val="560"/>
          <w:tblHeader/>
        </w:trPr>
        <w:tc>
          <w:tcPr>
            <w:tcW w:w="4994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Показатели</w:t>
            </w:r>
            <w:r>
              <w:rPr>
                <w:b/>
                <w:color w:val="000000"/>
                <w:sz w:val="28"/>
                <w:szCs w:val="28"/>
              </w:rPr>
            </w:r>
            <w:r>
              <w:rPr>
                <w:b/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2007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2008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2009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2010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2011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332"/>
        </w:trPr>
        <w:tc>
          <w:tcPr>
            <w:tcW w:w="4994" w:type="dxa"/>
            <w:textDirection w:val="lrTb"/>
            <w:noWrap w:val="false"/>
          </w:tcPr>
          <w:p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Введено жилья (</w:t>
            </w:r>
            <w:r>
              <w:rPr>
                <w:color w:val="000000"/>
                <w:sz w:val="28"/>
                <w:szCs w:val="28"/>
              </w:rPr>
              <w:t xml:space="preserve">тыс.</w:t>
            </w:r>
            <w:r>
              <w:rPr>
                <w:color w:val="000000"/>
                <w:sz w:val="28"/>
                <w:szCs w:val="28"/>
              </w:rPr>
              <w:t xml:space="preserve"> м2)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12,1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18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16,3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20,5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17,6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32"/>
        </w:trPr>
        <w:tc>
          <w:tcPr>
            <w:tcW w:w="4994" w:type="dxa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  <w:highlight w:val="magenta"/>
              </w:rPr>
            </w:pPr>
            <w:r>
              <w:rPr>
                <w:color w:val="000000"/>
                <w:sz w:val="28"/>
                <w:szCs w:val="28"/>
              </w:rPr>
              <w:t xml:space="preserve">Темп роста к предыдущему году (%)</w:t>
            </w:r>
            <w:r>
              <w:rPr>
                <w:color w:val="000000"/>
                <w:sz w:val="28"/>
                <w:szCs w:val="28"/>
                <w:highlight w:val="magenta"/>
              </w:rPr>
            </w:r>
            <w:r>
              <w:rPr>
                <w:color w:val="000000"/>
                <w:sz w:val="28"/>
                <w:szCs w:val="28"/>
                <w:highlight w:val="magenta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82,1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148,8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90,6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125,8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85,9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32"/>
        </w:trPr>
        <w:tc>
          <w:tcPr>
            <w:tcW w:w="4994" w:type="dxa"/>
            <w:textDirection w:val="lrTb"/>
            <w:noWrap w:val="false"/>
          </w:tcPr>
          <w:p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Введено жилья на 1000 жителей (м2)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353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551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500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632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544,1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11"/>
        </w:trPr>
        <w:tc>
          <w:tcPr>
            <w:tcW w:w="4994" w:type="dxa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  <w:highlight w:val="magenta"/>
              </w:rPr>
            </w:pPr>
            <w:r>
              <w:rPr>
                <w:color w:val="000000"/>
                <w:sz w:val="28"/>
                <w:szCs w:val="28"/>
              </w:rPr>
              <w:t xml:space="preserve">Темп роста к предыдущему году (%)</w:t>
            </w:r>
            <w:r>
              <w:rPr>
                <w:color w:val="000000"/>
                <w:sz w:val="28"/>
                <w:szCs w:val="28"/>
                <w:highlight w:val="magenta"/>
              </w:rPr>
            </w:r>
            <w:r>
              <w:rPr>
                <w:color w:val="000000"/>
                <w:sz w:val="28"/>
                <w:szCs w:val="28"/>
                <w:highlight w:val="magenta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82,3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156,1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90,7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126,4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86,1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995"/>
        </w:trPr>
        <w:tc>
          <w:tcPr>
            <w:tcW w:w="4994" w:type="dxa"/>
            <w:textDirection w:val="lrTb"/>
            <w:noWrap w:val="false"/>
          </w:tcPr>
          <w:p>
            <w:pPr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Справочно</w:t>
            </w:r>
            <w:r>
              <w:rPr>
                <w:i/>
                <w:color w:val="000000"/>
                <w:sz w:val="28"/>
                <w:szCs w:val="28"/>
              </w:rPr>
              <w:t xml:space="preserve">:</w:t>
            </w:r>
            <w:r>
              <w:rPr>
                <w:i/>
                <w:color w:val="000000"/>
                <w:sz w:val="28"/>
                <w:szCs w:val="28"/>
              </w:rPr>
            </w:r>
            <w:r>
              <w:rPr>
                <w:i/>
                <w:color w:val="000000"/>
                <w:sz w:val="28"/>
                <w:szCs w:val="28"/>
              </w:rPr>
            </w:r>
          </w:p>
          <w:p>
            <w:pPr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Введено жилья на 1000 жителей в области (м2)</w:t>
            </w:r>
            <w:r>
              <w:rPr>
                <w:i/>
                <w:color w:val="000000"/>
                <w:sz w:val="28"/>
                <w:szCs w:val="28"/>
              </w:rPr>
            </w:r>
            <w:r>
              <w:rPr>
                <w:i/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703</w:t>
            </w:r>
            <w:r>
              <w:rPr>
                <w:i/>
                <w:color w:val="000000"/>
                <w:sz w:val="28"/>
                <w:szCs w:val="28"/>
              </w:rPr>
            </w:r>
            <w:r>
              <w:rPr>
                <w:i/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732</w:t>
            </w:r>
            <w:r>
              <w:rPr>
                <w:i/>
                <w:color w:val="000000"/>
                <w:sz w:val="28"/>
                <w:szCs w:val="28"/>
              </w:rPr>
            </w:r>
            <w:r>
              <w:rPr>
                <w:i/>
                <w:color w:val="000000"/>
                <w:sz w:val="28"/>
                <w:szCs w:val="28"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720</w:t>
            </w:r>
            <w:r>
              <w:rPr>
                <w:i/>
                <w:color w:val="000000"/>
                <w:sz w:val="28"/>
                <w:szCs w:val="28"/>
              </w:rPr>
            </w:r>
            <w:r>
              <w:rPr>
                <w:i/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720</w:t>
            </w:r>
            <w:r>
              <w:rPr>
                <w:i/>
                <w:color w:val="000000"/>
                <w:sz w:val="28"/>
                <w:szCs w:val="28"/>
              </w:rPr>
            </w:r>
            <w:r>
              <w:rPr>
                <w:i/>
                <w:color w:val="000000"/>
                <w:sz w:val="28"/>
                <w:szCs w:val="28"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740</w:t>
            </w:r>
            <w:r>
              <w:rPr>
                <w:i/>
                <w:color w:val="000000"/>
                <w:sz w:val="28"/>
                <w:szCs w:val="28"/>
              </w:rPr>
            </w:r>
            <w:r>
              <w:rPr>
                <w:i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32"/>
        </w:trPr>
        <w:tc>
          <w:tcPr>
            <w:tcW w:w="4994" w:type="dxa"/>
            <w:textDirection w:val="lrTb"/>
            <w:noWrap w:val="false"/>
          </w:tcPr>
          <w:p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Темп роста к предыдущему году (%)</w:t>
            </w:r>
            <w:r>
              <w:rPr>
                <w:i/>
                <w:color w:val="000000"/>
                <w:sz w:val="28"/>
                <w:szCs w:val="28"/>
              </w:rPr>
            </w:r>
            <w:r>
              <w:rPr>
                <w:i/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112,3</w:t>
            </w:r>
            <w:r>
              <w:rPr>
                <w:i/>
                <w:color w:val="000000"/>
                <w:sz w:val="28"/>
                <w:szCs w:val="28"/>
              </w:rPr>
            </w:r>
            <w:r>
              <w:rPr>
                <w:i/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104,1</w:t>
            </w:r>
            <w:r>
              <w:rPr>
                <w:i/>
                <w:color w:val="000000"/>
                <w:sz w:val="28"/>
                <w:szCs w:val="28"/>
              </w:rPr>
            </w:r>
            <w:r>
              <w:rPr>
                <w:i/>
                <w:color w:val="000000"/>
                <w:sz w:val="28"/>
                <w:szCs w:val="28"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98,4</w:t>
            </w:r>
            <w:r>
              <w:rPr>
                <w:i/>
                <w:color w:val="000000"/>
                <w:sz w:val="28"/>
                <w:szCs w:val="28"/>
              </w:rPr>
            </w:r>
            <w:r>
              <w:rPr>
                <w:i/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100,0</w:t>
            </w:r>
            <w:r>
              <w:rPr>
                <w:i/>
                <w:color w:val="000000"/>
                <w:sz w:val="28"/>
                <w:szCs w:val="28"/>
              </w:rPr>
            </w:r>
            <w:r>
              <w:rPr>
                <w:i/>
                <w:color w:val="000000"/>
                <w:sz w:val="28"/>
                <w:szCs w:val="28"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102,8</w:t>
            </w:r>
            <w:r>
              <w:rPr>
                <w:i/>
                <w:color w:val="000000"/>
                <w:sz w:val="28"/>
                <w:szCs w:val="28"/>
              </w:rPr>
            </w:r>
            <w:r>
              <w:rPr>
                <w:i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684"/>
        </w:trPr>
        <w:tc>
          <w:tcPr>
            <w:tcW w:w="4994" w:type="dxa"/>
            <w:textDirection w:val="lrTb"/>
            <w:noWrap w:val="false"/>
          </w:tcPr>
          <w:p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Коэффициент сравнения ввода жилья на 1000 жителей (МО/Область)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0,5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0,75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0,7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4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0,9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0,74</w: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</w:tr>
    </w:tbl>
    <w:p>
      <w:pPr>
        <w:ind w:firstLine="708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  <w:r>
        <w:rPr>
          <w:color w:val="ff0000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анализируемом периоде  наблюдался рост объемов жилья с 12,1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кв.м</w:t>
      </w:r>
      <w:r>
        <w:rPr>
          <w:color w:val="000000"/>
          <w:sz w:val="28"/>
          <w:szCs w:val="28"/>
        </w:rPr>
        <w:t xml:space="preserve"> в 2007 году до 17,6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кв.</w:t>
      </w:r>
      <w:r>
        <w:rPr>
          <w:color w:val="000000"/>
          <w:sz w:val="28"/>
          <w:szCs w:val="28"/>
        </w:rPr>
        <w:t xml:space="preserve">м</w:t>
      </w:r>
      <w:r>
        <w:rPr>
          <w:color w:val="000000"/>
          <w:sz w:val="28"/>
          <w:szCs w:val="28"/>
        </w:rPr>
        <w:t xml:space="preserve"> в 2011 году. </w:t>
      </w:r>
      <w:r>
        <w:rPr>
          <w:color w:val="000000"/>
          <w:sz w:val="28"/>
          <w:szCs w:val="28"/>
        </w:rPr>
        <w:t xml:space="preserve">Введено </w:t>
      </w:r>
      <w:r>
        <w:rPr>
          <w:color w:val="000000"/>
          <w:sz w:val="28"/>
          <w:szCs w:val="28"/>
        </w:rPr>
        <w:t xml:space="preserve">177</w:t>
      </w:r>
      <w:r>
        <w:rPr>
          <w:color w:val="000000"/>
          <w:sz w:val="28"/>
          <w:szCs w:val="28"/>
        </w:rPr>
        <w:t xml:space="preserve"> домов индивидуальными</w:t>
      </w:r>
      <w:r>
        <w:rPr>
          <w:color w:val="000000"/>
          <w:sz w:val="28"/>
          <w:szCs w:val="28"/>
        </w:rPr>
        <w:t xml:space="preserve"> зас</w:t>
      </w:r>
      <w:r>
        <w:rPr>
          <w:color w:val="000000"/>
          <w:sz w:val="28"/>
          <w:szCs w:val="28"/>
        </w:rPr>
        <w:t xml:space="preserve">тройщиками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Ввод жилья на 1000 жителей района ниже аналогичного показателя области на 26,5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процентов</w:t>
      </w:r>
      <w:r>
        <w:rPr>
          <w:color w:val="000000"/>
          <w:sz w:val="28"/>
          <w:szCs w:val="28"/>
        </w:rPr>
        <w:t xml:space="preserve">. При</w:t>
      </w:r>
      <w:r>
        <w:rPr>
          <w:color w:val="000000"/>
          <w:sz w:val="28"/>
          <w:szCs w:val="28"/>
        </w:rPr>
        <w:t xml:space="preserve"> этом объем ввода индивидуального жилья в 2011 году по сравнению с 2007 годом вырос на  45,5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процентов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федеральной целевой программы «Социальное развития села до 2012 года» для молодых семей и молодых специалистов</w:t>
      </w:r>
      <w:r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работающих в агропромышленном комплексе</w:t>
      </w:r>
      <w:r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построено и введено в эксплуатацию 1,8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кв.м</w:t>
      </w:r>
      <w:r>
        <w:rPr>
          <w:color w:val="000000"/>
          <w:sz w:val="28"/>
          <w:szCs w:val="28"/>
        </w:rPr>
        <w:t xml:space="preserve"> жилья, 10 сем</w:t>
      </w:r>
      <w:r>
        <w:rPr>
          <w:color w:val="000000"/>
          <w:sz w:val="28"/>
          <w:szCs w:val="28"/>
        </w:rPr>
        <w:t xml:space="preserve">ей</w:t>
      </w:r>
      <w:r>
        <w:rPr>
          <w:color w:val="000000"/>
          <w:sz w:val="28"/>
          <w:szCs w:val="28"/>
        </w:rPr>
        <w:t xml:space="preserve"> получили субсидии из федерального и областного бюджетов на сумму 7,0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 областной программе «Обеспечение жильем молодых семей в Белгородской области» выделено семь сертификатов на строительство жилья.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Также в муниципальном округе осуществляется программа строительства жилья для детей-сирот и детей</w:t>
      </w:r>
      <w:r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оставшихся без попечения родителей. В 2011 году осуществлялось стр</w:t>
      </w:r>
      <w:r>
        <w:rPr>
          <w:color w:val="000000"/>
          <w:sz w:val="28"/>
          <w:szCs w:val="28"/>
        </w:rPr>
        <w:t xml:space="preserve">оительство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9 квартир</w:t>
      </w:r>
      <w:r>
        <w:rPr>
          <w:color w:val="000000"/>
          <w:sz w:val="28"/>
          <w:szCs w:val="28"/>
        </w:rPr>
        <w:t xml:space="preserve"> для детей</w:t>
      </w:r>
      <w:r>
        <w:rPr>
          <w:color w:val="000000"/>
          <w:sz w:val="28"/>
          <w:szCs w:val="28"/>
        </w:rPr>
        <w:t xml:space="preserve"> сирот, где освоено 7,8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программе переселения граждан из аварийного и ветхого жилья в 2008-2011 годах построены и введены в эксплуатацию 21 квартира, общей площадью 1096 </w:t>
      </w:r>
      <w:r>
        <w:rPr>
          <w:color w:val="000000"/>
          <w:sz w:val="28"/>
          <w:szCs w:val="28"/>
        </w:rPr>
        <w:t xml:space="preserve">кв.м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оказания помощи застройщикам индивидуального жилья</w:t>
      </w:r>
      <w:r>
        <w:rPr>
          <w:color w:val="000000"/>
          <w:sz w:val="28"/>
          <w:szCs w:val="28"/>
        </w:rPr>
        <w:t xml:space="preserve"> в муниципальном об</w:t>
      </w:r>
      <w:r>
        <w:rPr>
          <w:color w:val="000000"/>
          <w:sz w:val="28"/>
          <w:szCs w:val="28"/>
        </w:rPr>
        <w:t xml:space="preserve">разовании работает Чернянский филиал ГУП областного фонда поддержки индивидуального жилищного строительства, который вносит большой вклад в выполнение программы ИЖС. В 2011 году фондом оказано финансовой поддержки в виде целевых займов на сумму свыше 31,6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Управлением пенсионного фонда РФ по </w:t>
      </w:r>
      <w:r>
        <w:rPr>
          <w:rFonts w:ascii="Times New Roman" w:hAnsi="Times New Roman"/>
          <w:color w:val="000000"/>
          <w:sz w:val="28"/>
          <w:szCs w:val="28"/>
        </w:rPr>
        <w:t xml:space="preserve">Б</w:t>
      </w:r>
      <w:r>
        <w:rPr>
          <w:rFonts w:ascii="Times New Roman" w:hAnsi="Times New Roman"/>
          <w:color w:val="000000"/>
          <w:sz w:val="28"/>
          <w:szCs w:val="28"/>
        </w:rPr>
        <w:t xml:space="preserve">елгородской области 34 заемщикам областного фонда ИЖС и ССК «Свой дом» за счет средств материнского капитала погашены займы на общую сумму 10,7 </w:t>
      </w:r>
      <w:r>
        <w:rPr>
          <w:rFonts w:ascii="Times New Roman" w:hAnsi="Times New Roman"/>
          <w:color w:val="000000"/>
          <w:sz w:val="28"/>
          <w:szCs w:val="28"/>
        </w:rPr>
        <w:t xml:space="preserve">млн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  <w:t xml:space="preserve"> руб.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Согласно программе</w:t>
      </w:r>
      <w:r>
        <w:rPr>
          <w:rFonts w:ascii="Times New Roman" w:hAnsi="Times New Roman"/>
          <w:color w:val="000000"/>
          <w:sz w:val="28"/>
          <w:szCs w:val="28"/>
        </w:rPr>
        <w:t xml:space="preserve"> обеспечения жильем ветеранов и участников ВОВ</w:t>
      </w:r>
      <w:r>
        <w:rPr>
          <w:rFonts w:ascii="Times New Roman" w:hAnsi="Times New Roman"/>
          <w:color w:val="000000"/>
          <w:sz w:val="28"/>
          <w:szCs w:val="28"/>
        </w:rPr>
        <w:t xml:space="preserve">,</w:t>
      </w:r>
      <w:r>
        <w:rPr>
          <w:rFonts w:ascii="Times New Roman" w:hAnsi="Times New Roman"/>
          <w:color w:val="000000"/>
          <w:sz w:val="28"/>
          <w:szCs w:val="28"/>
        </w:rPr>
        <w:t xml:space="preserve"> на очередь  поставлен 121 ветеран ВОВ, нуждающийся в улучшении жилищных условий, 96 ветеранов получил</w:t>
      </w:r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z w:val="28"/>
          <w:szCs w:val="28"/>
        </w:rPr>
        <w:t xml:space="preserve">средства на общую сумму 90,1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млн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  <w:t xml:space="preserve"> руб.</w:t>
      </w:r>
      <w:r>
        <w:rPr>
          <w:rFonts w:ascii="Times New Roman" w:hAnsi="Times New Roman"/>
          <w:color w:val="000000"/>
          <w:sz w:val="28"/>
          <w:szCs w:val="28"/>
        </w:rPr>
        <w:t xml:space="preserve"> и приобрели жилье 25 ветеранам</w:t>
      </w:r>
      <w:r>
        <w:rPr>
          <w:rFonts w:ascii="Times New Roman" w:hAnsi="Times New Roman"/>
          <w:color w:val="000000"/>
          <w:sz w:val="28"/>
          <w:szCs w:val="28"/>
        </w:rPr>
        <w:t xml:space="preserve"> состоящих в очереди</w:t>
      </w:r>
      <w:r>
        <w:rPr>
          <w:rFonts w:ascii="Times New Roman" w:hAnsi="Times New Roman"/>
          <w:color w:val="000000"/>
          <w:sz w:val="28"/>
          <w:szCs w:val="28"/>
        </w:rPr>
        <w:t xml:space="preserve">,</w:t>
      </w:r>
      <w:r>
        <w:rPr>
          <w:rFonts w:ascii="Times New Roman" w:hAnsi="Times New Roman"/>
          <w:color w:val="000000"/>
          <w:sz w:val="28"/>
          <w:szCs w:val="28"/>
        </w:rPr>
        <w:t xml:space="preserve"> в ближайшее время </w:t>
      </w:r>
      <w:r>
        <w:rPr>
          <w:rFonts w:ascii="Times New Roman" w:hAnsi="Times New Roman"/>
          <w:color w:val="000000"/>
          <w:sz w:val="28"/>
          <w:szCs w:val="28"/>
        </w:rPr>
        <w:t xml:space="preserve">они </w:t>
      </w:r>
      <w:r>
        <w:rPr>
          <w:rFonts w:ascii="Times New Roman" w:hAnsi="Times New Roman"/>
          <w:color w:val="000000"/>
          <w:sz w:val="28"/>
          <w:szCs w:val="28"/>
        </w:rPr>
        <w:t xml:space="preserve">получат денежные средства.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jc w:val="center"/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1.2.6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. Транспорт</w:t>
      </w:r>
      <w:r>
        <w:rPr>
          <w:rFonts w:ascii="Times New Roman" w:hAnsi="Times New Roman"/>
          <w:b/>
          <w:color w:val="000000"/>
          <w:sz w:val="28"/>
          <w:szCs w:val="28"/>
        </w:rPr>
      </w:r>
      <w:r>
        <w:rPr>
          <w:rFonts w:ascii="Times New Roman" w:hAnsi="Times New Roman"/>
          <w:b/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jc w:val="center"/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</w:r>
      <w:r>
        <w:rPr>
          <w:rFonts w:ascii="Times New Roman" w:hAnsi="Times New Roman"/>
          <w:b/>
          <w:color w:val="000000"/>
          <w:sz w:val="28"/>
          <w:szCs w:val="28"/>
        </w:rPr>
      </w:r>
      <w:r>
        <w:rPr>
          <w:rFonts w:ascii="Times New Roman" w:hAnsi="Times New Roman"/>
          <w:b/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Все центры поселений и к</w:t>
      </w:r>
      <w:r>
        <w:rPr>
          <w:rFonts w:ascii="Times New Roman" w:hAnsi="Times New Roman"/>
          <w:color w:val="000000"/>
          <w:sz w:val="28"/>
          <w:szCs w:val="28"/>
        </w:rPr>
        <w:t xml:space="preserve">рупные населенные пункты связаны</w:t>
      </w:r>
      <w:r>
        <w:rPr>
          <w:rFonts w:ascii="Times New Roman" w:hAnsi="Times New Roman"/>
          <w:color w:val="000000"/>
          <w:sz w:val="28"/>
          <w:szCs w:val="28"/>
        </w:rPr>
        <w:t xml:space="preserve"> с районным центром и областной опорой сетью автомобильных дорог дорогами с твердым покрытием.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Наряду со значительным развитием транспортной системы есть несколько сел, не имеющих асфальтированных дорог, связанных с опорной сетью автомобильных дорог. Это населенные пункты: с.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Некрасовка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х.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Малиново</w:t>
      </w:r>
      <w:r>
        <w:rPr>
          <w:rFonts w:ascii="Times New Roman" w:hAnsi="Times New Roman"/>
          <w:color w:val="000000"/>
          <w:sz w:val="28"/>
          <w:szCs w:val="28"/>
        </w:rPr>
        <w:t xml:space="preserve">, х. </w:t>
      </w:r>
      <w:r>
        <w:rPr>
          <w:rFonts w:ascii="Times New Roman" w:hAnsi="Times New Roman"/>
          <w:color w:val="000000"/>
          <w:sz w:val="28"/>
          <w:szCs w:val="28"/>
        </w:rPr>
        <w:t xml:space="preserve">Шляховое</w:t>
      </w:r>
      <w:r>
        <w:rPr>
          <w:rFonts w:ascii="Times New Roman" w:hAnsi="Times New Roman"/>
          <w:color w:val="000000"/>
          <w:sz w:val="28"/>
          <w:szCs w:val="28"/>
        </w:rPr>
        <w:t xml:space="preserve">. Немалова</w:t>
      </w:r>
      <w:r>
        <w:rPr>
          <w:rFonts w:ascii="Times New Roman" w:hAnsi="Times New Roman"/>
          <w:color w:val="000000"/>
          <w:sz w:val="28"/>
          <w:szCs w:val="28"/>
        </w:rPr>
        <w:t xml:space="preserve">жной задачей является строительство новых автомобильных дорог между сельскими поселениями в целях оптимизации грузоперевозок и </w:t>
      </w:r>
      <w:r>
        <w:rPr>
          <w:rFonts w:ascii="Times New Roman" w:hAnsi="Times New Roman"/>
          <w:color w:val="000000"/>
          <w:sz w:val="28"/>
          <w:szCs w:val="28"/>
        </w:rPr>
        <w:t xml:space="preserve">пассажироперевозок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муниципальном образовании работает одно автотранспортное предприятие - </w:t>
      </w:r>
      <w:r>
        <w:rPr>
          <w:rFonts w:ascii="Times New Roman" w:hAnsi="Times New Roman"/>
          <w:color w:val="000000"/>
          <w:sz w:val="28"/>
          <w:szCs w:val="28"/>
        </w:rPr>
        <w:t xml:space="preserve">ООО «</w:t>
      </w:r>
      <w:r>
        <w:rPr>
          <w:rFonts w:ascii="Times New Roman" w:hAnsi="Times New Roman"/>
          <w:color w:val="000000"/>
          <w:sz w:val="28"/>
          <w:szCs w:val="28"/>
        </w:rPr>
        <w:t xml:space="preserve">Трансэкспресс</w:t>
      </w:r>
      <w:r>
        <w:rPr>
          <w:rFonts w:ascii="Times New Roman" w:hAnsi="Times New Roman"/>
          <w:color w:val="000000"/>
          <w:sz w:val="28"/>
          <w:szCs w:val="28"/>
        </w:rPr>
        <w:t xml:space="preserve">»,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а также индивидуальные предприниматели, оказывающие услуги по перевозке пассажиров, а также занимающиеся грузоперевозками. 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 2011 год автобусами общего пользования перевезено                             102,2 </w:t>
      </w:r>
      <w:r>
        <w:rPr>
          <w:rFonts w:ascii="Times New Roman" w:hAnsi="Times New Roman"/>
          <w:color w:val="000000"/>
          <w:sz w:val="28"/>
          <w:szCs w:val="28"/>
        </w:rPr>
        <w:t xml:space="preserve">тыс</w:t>
      </w:r>
      <w:r>
        <w:rPr>
          <w:rFonts w:ascii="Times New Roman" w:hAnsi="Times New Roman"/>
          <w:color w:val="000000"/>
          <w:sz w:val="28"/>
          <w:szCs w:val="28"/>
        </w:rPr>
        <w:t xml:space="preserve">яч пассажиров, что на </w:t>
      </w:r>
      <w:r>
        <w:rPr>
          <w:rFonts w:ascii="Times New Roman" w:hAnsi="Times New Roman"/>
          <w:color w:val="000000"/>
          <w:sz w:val="28"/>
          <w:szCs w:val="28"/>
        </w:rPr>
        <w:t xml:space="preserve">22,3</w:t>
      </w:r>
      <w:r>
        <w:rPr>
          <w:rFonts w:ascii="Times New Roman" w:hAnsi="Times New Roman"/>
          <w:color w:val="000000"/>
          <w:sz w:val="28"/>
          <w:szCs w:val="28"/>
        </w:rPr>
        <w:t xml:space="preserve">%</w:t>
      </w:r>
      <w:r>
        <w:rPr>
          <w:rFonts w:ascii="Times New Roman" w:hAnsi="Times New Roman"/>
          <w:color w:val="000000"/>
          <w:sz w:val="28"/>
          <w:szCs w:val="28"/>
        </w:rPr>
        <w:t xml:space="preserve"> меньше, чем в 2007 году.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Пассажирооборот увеличился на 13,5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процентов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color w:val="ff0000"/>
          <w:sz w:val="28"/>
          <w:szCs w:val="28"/>
        </w:rPr>
      </w:r>
      <w:r>
        <w:rPr>
          <w:rFonts w:ascii="Times New Roman" w:hAnsi="Times New Roman"/>
          <w:color w:val="ff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jc w:val="right"/>
        <w:spacing w:after="0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</w:r>
      <w:r>
        <w:rPr>
          <w:rFonts w:ascii="Times New Roman" w:hAnsi="Times New Roman"/>
          <w:i/>
          <w:color w:val="000000"/>
          <w:sz w:val="28"/>
          <w:szCs w:val="28"/>
        </w:rPr>
      </w:r>
      <w:r>
        <w:rPr>
          <w:rFonts w:ascii="Times New Roman" w:hAnsi="Times New Roman"/>
          <w:i/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jc w:val="right"/>
        <w:spacing w:after="0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Таблица 1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2</w:t>
      </w:r>
      <w:r>
        <w:rPr>
          <w:rFonts w:ascii="Times New Roman" w:hAnsi="Times New Roman"/>
          <w:i/>
          <w:color w:val="000000"/>
          <w:sz w:val="28"/>
          <w:szCs w:val="28"/>
        </w:rPr>
      </w:r>
      <w:r>
        <w:rPr>
          <w:rFonts w:ascii="Times New Roman" w:hAnsi="Times New Roman"/>
          <w:i/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jc w:val="center"/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Основные показатели работы автобусов</w:t>
      </w:r>
      <w:r>
        <w:rPr>
          <w:rFonts w:ascii="Times New Roman" w:hAnsi="Times New Roman"/>
          <w:b/>
          <w:color w:val="000000"/>
          <w:sz w:val="28"/>
          <w:szCs w:val="28"/>
        </w:rPr>
      </w:r>
      <w:r>
        <w:rPr>
          <w:rFonts w:ascii="Times New Roman" w:hAnsi="Times New Roman"/>
          <w:b/>
          <w:color w:val="000000"/>
          <w:sz w:val="28"/>
          <w:szCs w:val="28"/>
        </w:rPr>
      </w:r>
    </w:p>
    <w:tbl>
      <w:tblPr>
        <w:tblW w:w="97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079"/>
        <w:gridCol w:w="1457"/>
        <w:gridCol w:w="1049"/>
        <w:gridCol w:w="1050"/>
        <w:gridCol w:w="1049"/>
        <w:gridCol w:w="1050"/>
        <w:gridCol w:w="1050"/>
      </w:tblGrid>
      <w:tr>
        <w:tblPrEx/>
        <w:trPr>
          <w:trHeight w:val="549"/>
          <w:tblHeader/>
        </w:trPr>
        <w:tc>
          <w:tcPr>
            <w:tcW w:w="307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 xml:space="preserve">Показатели</w:t>
            </w:r>
            <w:r>
              <w:rPr>
                <w:rFonts w:ascii="Times New Roman" w:hAnsi="Times New Roman"/>
                <w:b/>
                <w:color w:val="000000"/>
                <w:szCs w:val="24"/>
              </w:rPr>
            </w:r>
            <w:r>
              <w:rPr>
                <w:rFonts w:ascii="Times New Roman" w:hAnsi="Times New Roman"/>
                <w:b/>
                <w:color w:val="000000"/>
                <w:szCs w:val="24"/>
              </w:rPr>
            </w:r>
          </w:p>
        </w:tc>
        <w:tc>
          <w:tcPr>
            <w:tcW w:w="1457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 xml:space="preserve">Ед. </w:t>
            </w:r>
            <w:r>
              <w:rPr>
                <w:rFonts w:ascii="Times New Roman" w:hAnsi="Times New Roman"/>
                <w:b/>
                <w:color w:val="000000"/>
                <w:szCs w:val="24"/>
              </w:rPr>
            </w:r>
            <w:r>
              <w:rPr>
                <w:rFonts w:ascii="Times New Roman" w:hAnsi="Times New Roman"/>
                <w:b/>
                <w:color w:val="000000"/>
                <w:szCs w:val="24"/>
              </w:rPr>
            </w:r>
          </w:p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Cs w:val="24"/>
              </w:rPr>
              <w:t xml:space="preserve">изм.</w:t>
            </w:r>
            <w:r>
              <w:rPr>
                <w:rFonts w:ascii="Times New Roman" w:hAnsi="Times New Roman"/>
                <w:b/>
                <w:color w:val="000000"/>
                <w:szCs w:val="24"/>
              </w:rPr>
            </w:r>
            <w:r>
              <w:rPr>
                <w:rFonts w:ascii="Times New Roman" w:hAnsi="Times New Roman"/>
                <w:b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2007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2008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2009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2010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2011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549"/>
        </w:trPr>
        <w:tc>
          <w:tcPr>
            <w:tcW w:w="307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Количество перевезенных пассажиров, в том числе: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457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тыс.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пас.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131,6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138,2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124,5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108,8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102,2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</w:tr>
      <w:tr>
        <w:tblPrEx/>
        <w:trPr>
          <w:trHeight w:val="264"/>
        </w:trPr>
        <w:tc>
          <w:tcPr>
            <w:tcW w:w="307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- пригородными линиями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457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тыс.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пас.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112,3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119,4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111,0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88,0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71,4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</w:tr>
      <w:tr>
        <w:tblPrEx/>
        <w:trPr>
          <w:trHeight w:val="285"/>
        </w:trPr>
        <w:tc>
          <w:tcPr>
            <w:tcW w:w="307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- междугородными линиями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457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тыс.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пас.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17,9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17,7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12,7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20,3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30,3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</w:tr>
      <w:tr>
        <w:tblPrEx/>
        <w:trPr>
          <w:trHeight w:val="264"/>
        </w:trPr>
        <w:tc>
          <w:tcPr>
            <w:tcW w:w="307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- коммерческими рейсами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457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тыс.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 пас.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1,4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1,1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0,8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0,5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0,5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</w:tr>
      <w:tr>
        <w:tblPrEx/>
        <w:trPr>
          <w:trHeight w:val="549"/>
        </w:trPr>
        <w:tc>
          <w:tcPr>
            <w:tcW w:w="307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Пассажирооборот всего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, в том числе: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457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тыс.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пас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.-км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3353,6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3285,8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2851,6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3227,9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3805,9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</w:tr>
      <w:tr>
        <w:tblPrEx/>
        <w:trPr>
          <w:trHeight w:val="264"/>
        </w:trPr>
        <w:tc>
          <w:tcPr>
            <w:tcW w:w="307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- на пригородных линиях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457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тыс.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пас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.-км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1622,7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1671,6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1551,1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1246,4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1032,4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</w:tr>
      <w:tr>
        <w:tblPrEx/>
        <w:trPr>
          <w:trHeight w:val="285"/>
        </w:trPr>
        <w:tc>
          <w:tcPr>
            <w:tcW w:w="307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- на междугородных линиях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457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тыс.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пас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.-км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1693,3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1582,0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1268,8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1938,3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2742,6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</w:tr>
      <w:tr>
        <w:tblPrEx/>
        <w:trPr>
          <w:trHeight w:val="285"/>
        </w:trPr>
        <w:tc>
          <w:tcPr>
            <w:tcW w:w="307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- коммерческие рейсы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457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тыс.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пас</w:t>
            </w:r>
            <w:r>
              <w:rPr>
                <w:rFonts w:ascii="Times New Roman" w:hAnsi="Times New Roman"/>
                <w:color w:val="000000"/>
                <w:szCs w:val="24"/>
              </w:rPr>
              <w:t xml:space="preserve">.-км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37,6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32,2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31,7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43,2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30,9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</w:tr>
      <w:tr>
        <w:tblPrEx/>
        <w:trPr>
          <w:trHeight w:val="285"/>
        </w:trPr>
        <w:tc>
          <w:tcPr>
            <w:tcW w:w="307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Средняя дальность поездки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457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км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25,5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23,8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22,9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29,7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  <w:tc>
          <w:tcPr>
            <w:tcW w:w="1050" w:type="dxa"/>
            <w:textDirection w:val="lrTb"/>
            <w:noWrap w:val="false"/>
          </w:tcPr>
          <w:p>
            <w:pPr>
              <w:pStyle w:val="1041"/>
              <w:numPr>
                <w:ilvl w:val="0"/>
                <w:numId w:val="0"/>
              </w:numPr>
              <w:jc w:val="center"/>
              <w:spacing w:after="0"/>
              <w:rPr>
                <w:rFonts w:ascii="Times New Roman" w:hAnsi="Times New Roman"/>
                <w:color w:val="000000"/>
                <w:szCs w:val="24"/>
              </w:rPr>
            </w:pPr>
            <w:r>
              <w:rPr>
                <w:rFonts w:ascii="Times New Roman" w:hAnsi="Times New Roman"/>
                <w:color w:val="000000"/>
                <w:szCs w:val="24"/>
              </w:rPr>
              <w:t xml:space="preserve">37,2</w:t>
            </w:r>
            <w:r>
              <w:rPr>
                <w:rFonts w:ascii="Times New Roman" w:hAnsi="Times New Roman"/>
                <w:color w:val="000000"/>
                <w:szCs w:val="24"/>
              </w:rPr>
            </w:r>
            <w:r>
              <w:rPr>
                <w:rFonts w:ascii="Times New Roman" w:hAnsi="Times New Roman"/>
                <w:color w:val="000000"/>
                <w:szCs w:val="24"/>
              </w:rPr>
            </w:r>
          </w:p>
        </w:tc>
      </w:tr>
    </w:tbl>
    <w:p>
      <w:pPr>
        <w:pStyle w:val="1041"/>
        <w:numPr>
          <w:ilvl w:val="0"/>
          <w:numId w:val="0"/>
        </w:numPr>
        <w:ind w:firstLine="720"/>
        <w:jc w:val="center"/>
        <w:spacing w:after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</w:r>
      <w:r>
        <w:rPr>
          <w:rFonts w:ascii="Times New Roman" w:hAnsi="Times New Roman"/>
          <w:color w:val="ff0000"/>
          <w:sz w:val="28"/>
          <w:szCs w:val="28"/>
        </w:rPr>
      </w:r>
      <w:r>
        <w:rPr>
          <w:rFonts w:ascii="Times New Roman" w:hAnsi="Times New Roman"/>
          <w:color w:val="ff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</w:t>
      </w:r>
      <w:r>
        <w:rPr>
          <w:rFonts w:ascii="Times New Roman" w:hAnsi="Times New Roman"/>
          <w:sz w:val="28"/>
          <w:szCs w:val="28"/>
        </w:rPr>
        <w:t xml:space="preserve">ежду отдельными селами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отсутствует транспортное</w:t>
      </w:r>
      <w:r>
        <w:rPr>
          <w:rFonts w:ascii="Times New Roman" w:hAnsi="Times New Roman"/>
          <w:sz w:val="28"/>
          <w:szCs w:val="28"/>
        </w:rPr>
        <w:t xml:space="preserve"> сообщени</w:t>
      </w:r>
      <w:r>
        <w:rPr>
          <w:rFonts w:ascii="Times New Roman" w:hAnsi="Times New Roman"/>
          <w:sz w:val="28"/>
          <w:szCs w:val="28"/>
        </w:rPr>
        <w:t xml:space="preserve">е.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Пассажирские автоперевозки</w:t>
      </w:r>
      <w:r>
        <w:rPr>
          <w:rFonts w:ascii="Times New Roman" w:hAnsi="Times New Roman"/>
          <w:color w:val="000000"/>
          <w:sz w:val="28"/>
          <w:szCs w:val="28"/>
        </w:rPr>
        <w:t xml:space="preserve"> остаются одной из проблем, так как износ автобусного парка пассажирского автотранспортного предприятия, обслуживающего муниципальное образование очень большой.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041"/>
        <w:numPr>
          <w:ilvl w:val="0"/>
          <w:numId w:val="0"/>
        </w:numPr>
        <w:ind w:firstLine="720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1.2.7</w:t>
      </w:r>
      <w:r>
        <w:rPr>
          <w:b/>
          <w:color w:val="000000"/>
          <w:sz w:val="28"/>
          <w:szCs w:val="28"/>
        </w:rPr>
        <w:t xml:space="preserve">. Здравоохранение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both"/>
        <w:rPr>
          <w:b/>
          <w:color w:val="00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Охрана здоровья населения является одним из приоритетных направлени</w:t>
      </w:r>
      <w:r>
        <w:rPr>
          <w:color w:val="000000"/>
          <w:sz w:val="28"/>
          <w:szCs w:val="28"/>
        </w:rPr>
        <w:t xml:space="preserve">й</w:t>
      </w:r>
      <w:r>
        <w:rPr>
          <w:color w:val="000000"/>
          <w:sz w:val="28"/>
          <w:szCs w:val="28"/>
        </w:rPr>
        <w:t xml:space="preserve"> социальной политики муниципального образования. Медицинскую помощь населению оказывает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центральная районная больница, поликлиника, 3 амбулатории, 1 центр врача </w:t>
      </w:r>
      <w:r>
        <w:rPr>
          <w:color w:val="000000"/>
          <w:sz w:val="28"/>
          <w:szCs w:val="28"/>
        </w:rPr>
        <w:t xml:space="preserve">общей практики, </w:t>
      </w:r>
      <w:r>
        <w:rPr>
          <w:color w:val="000000"/>
          <w:sz w:val="28"/>
          <w:szCs w:val="28"/>
        </w:rPr>
        <w:t xml:space="preserve">3 врача общей практики, </w:t>
      </w:r>
      <w:r>
        <w:rPr>
          <w:color w:val="000000"/>
          <w:sz w:val="28"/>
          <w:szCs w:val="28"/>
        </w:rPr>
        <w:t xml:space="preserve">32 фельдшерско-акушерских пункта.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righ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1</w:t>
      </w:r>
      <w:r>
        <w:rPr>
          <w:i/>
          <w:color w:val="000000"/>
          <w:sz w:val="28"/>
          <w:szCs w:val="28"/>
        </w:rPr>
        <w:t xml:space="preserve">3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Основные показатели здравоохранения </w:t>
      </w:r>
      <w:r>
        <w:rPr>
          <w:b/>
          <w:color w:val="000000"/>
          <w:sz w:val="28"/>
          <w:szCs w:val="28"/>
        </w:rPr>
        <w:t xml:space="preserve">в МО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both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  <w:r>
        <w:rPr>
          <w:color w:val="ff0000"/>
        </w:rPr>
      </w:r>
    </w:p>
    <w:tbl>
      <w:tblPr>
        <w:tblW w:w="98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2192"/>
        <w:gridCol w:w="685"/>
        <w:gridCol w:w="687"/>
        <w:gridCol w:w="686"/>
        <w:gridCol w:w="686"/>
        <w:gridCol w:w="686"/>
        <w:gridCol w:w="685"/>
        <w:gridCol w:w="686"/>
        <w:gridCol w:w="686"/>
        <w:gridCol w:w="686"/>
        <w:gridCol w:w="685"/>
        <w:gridCol w:w="822"/>
      </w:tblGrid>
      <w:tr>
        <w:tblPrEx/>
        <w:trPr>
          <w:cantSplit/>
          <w:trHeight w:val="405"/>
          <w:tblHeader/>
        </w:trPr>
        <w:tc>
          <w:tcPr>
            <w:tcW w:w="2192" w:type="dxa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Показатели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gridSpan w:val="2"/>
            <w:tcW w:w="1371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200</w:t>
            </w:r>
            <w:r>
              <w:rPr>
                <w:b/>
                <w:color w:val="000000"/>
                <w:sz w:val="22"/>
              </w:rPr>
              <w:t xml:space="preserve">7</w:t>
            </w:r>
            <w:r>
              <w:rPr>
                <w:b/>
                <w:color w:val="000000"/>
                <w:sz w:val="22"/>
              </w:rPr>
              <w:t xml:space="preserve">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gridSpan w:val="2"/>
            <w:tcW w:w="1371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200</w:t>
            </w:r>
            <w:r>
              <w:rPr>
                <w:b/>
                <w:color w:val="000000"/>
                <w:sz w:val="22"/>
              </w:rPr>
              <w:t xml:space="preserve">8</w:t>
            </w:r>
            <w:r>
              <w:rPr>
                <w:b/>
                <w:color w:val="000000"/>
                <w:sz w:val="22"/>
              </w:rPr>
              <w:t xml:space="preserve">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gridSpan w:val="2"/>
            <w:tcW w:w="1370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200</w:t>
            </w:r>
            <w:r>
              <w:rPr>
                <w:b/>
                <w:color w:val="000000"/>
                <w:sz w:val="22"/>
              </w:rPr>
              <w:t xml:space="preserve">9</w:t>
            </w:r>
            <w:r>
              <w:rPr>
                <w:b/>
                <w:color w:val="000000"/>
                <w:sz w:val="22"/>
              </w:rPr>
              <w:t xml:space="preserve">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gridSpan w:val="2"/>
            <w:tcW w:w="1371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2010</w:t>
            </w:r>
            <w:r>
              <w:rPr>
                <w:b/>
                <w:color w:val="000000"/>
                <w:sz w:val="22"/>
              </w:rPr>
              <w:t xml:space="preserve">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gridSpan w:val="3"/>
            <w:tcW w:w="2192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20</w:t>
            </w:r>
            <w:r>
              <w:rPr>
                <w:b/>
                <w:color w:val="000000"/>
                <w:sz w:val="22"/>
              </w:rPr>
              <w:t xml:space="preserve">11</w:t>
            </w:r>
            <w:r>
              <w:rPr>
                <w:b/>
                <w:color w:val="000000"/>
                <w:sz w:val="22"/>
              </w:rPr>
              <w:t xml:space="preserve">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cantSplit/>
          <w:trHeight w:val="1698"/>
          <w:tblHeader/>
        </w:trPr>
        <w:tc>
          <w:tcPr>
            <w:tcW w:w="2192" w:type="dxa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shd w:val="clear" w:color="auto" w:fill="e0e0e0"/>
            <w:tcW w:w="685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МО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687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Область*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shd w:val="clear" w:color="auto" w:fill="e0e0e0"/>
            <w:tcW w:w="68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МО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68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Область*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shd w:val="clear" w:color="auto" w:fill="e0e0e0"/>
            <w:tcW w:w="68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МО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685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Область*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shd w:val="clear" w:color="auto" w:fill="e0e0e0"/>
            <w:tcW w:w="68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МО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68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Область*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shd w:val="clear" w:color="auto" w:fill="e0e0e0"/>
            <w:tcW w:w="686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МО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685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Область*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22" w:type="dxa"/>
            <w:textDirection w:val="btLr"/>
            <w:noWrap w:val="false"/>
          </w:tcPr>
          <w:p>
            <w:pPr>
              <w:ind w:left="113" w:right="11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</w:rPr>
              <w:t xml:space="preserve">Коэффициент сравнения (МО/область)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1780"/>
        </w:trPr>
        <w:tc>
          <w:tcPr>
            <w:tcW w:w="2192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Заболеваемость населения с диагнозом, установленным впервые в жизни (на 1000 человек населения)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e0e0e0"/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601,4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634,9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637,0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755,5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716,3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780,0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651,4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756,7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479,3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767,3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82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0,6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</w:tr>
      <w:tr>
        <w:tblPrEx/>
        <w:trPr>
          <w:trHeight w:val="1517"/>
        </w:trPr>
        <w:tc>
          <w:tcPr>
            <w:tcW w:w="2192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Заболеваемость детей в возрасте 0-14 лет с диагнозом, установленным впервые в жизни (на 1000 детей)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e0e0e0"/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1761,7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1731,2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1251,3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1594,9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1157,3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1569,9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1287,5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1657,6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1221,9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2193,9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82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0,56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</w:tr>
      <w:tr>
        <w:tblPrEx/>
        <w:trPr>
          <w:trHeight w:val="1011"/>
        </w:trPr>
        <w:tc>
          <w:tcPr>
            <w:tcW w:w="2192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Число врачебных амбулаторно-поли-клинических учреждений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e0e0e0"/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3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165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171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180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186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190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82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0,01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</w:tr>
      <w:tr>
        <w:tblPrEx/>
        <w:trPr>
          <w:trHeight w:val="506"/>
        </w:trPr>
        <w:tc>
          <w:tcPr>
            <w:tcW w:w="2192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Число фельдшерско-акушерских пунктов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e0e0e0"/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34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574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33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570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33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565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32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553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32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550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82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0,06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</w:tr>
      <w:tr>
        <w:tblPrEx/>
        <w:trPr>
          <w:trHeight w:val="506"/>
        </w:trPr>
        <w:tc>
          <w:tcPr>
            <w:tcW w:w="2192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Обеспеченность на 10 </w:t>
            </w:r>
            <w:r>
              <w:rPr>
                <w:color w:val="000000"/>
                <w:sz w:val="22"/>
              </w:rPr>
              <w:t xml:space="preserve">тыс.</w:t>
            </w:r>
            <w:r>
              <w:rPr>
                <w:color w:val="000000"/>
                <w:sz w:val="22"/>
              </w:rPr>
              <w:t xml:space="preserve"> населения: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e0e0e0"/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82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</w:tr>
      <w:tr>
        <w:tblPrEx/>
        <w:trPr>
          <w:trHeight w:val="243"/>
        </w:trPr>
        <w:tc>
          <w:tcPr>
            <w:tcW w:w="2192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   - врачами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e0e0e0"/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23</w:t>
            </w:r>
            <w:r>
              <w:rPr>
                <w:color w:val="000000"/>
                <w:sz w:val="15"/>
                <w:szCs w:val="15"/>
              </w:rPr>
              <w:t xml:space="preserve">,0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41,1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22,7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40,6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20,6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40,7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20,3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40,4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2</w:t>
            </w:r>
            <w:r>
              <w:rPr>
                <w:color w:val="000000"/>
                <w:sz w:val="15"/>
                <w:szCs w:val="15"/>
              </w:rPr>
              <w:t xml:space="preserve">0,7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3</w:t>
            </w:r>
            <w:r>
              <w:rPr>
                <w:color w:val="000000"/>
                <w:sz w:val="15"/>
                <w:szCs w:val="15"/>
              </w:rPr>
              <w:t xml:space="preserve">0,1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82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0,</w:t>
            </w:r>
            <w:r>
              <w:rPr>
                <w:color w:val="000000"/>
                <w:sz w:val="15"/>
                <w:szCs w:val="15"/>
              </w:rPr>
              <w:t xml:space="preserve">69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</w:tr>
      <w:tr>
        <w:tblPrEx/>
        <w:trPr>
          <w:trHeight w:val="769"/>
        </w:trPr>
        <w:tc>
          <w:tcPr>
            <w:tcW w:w="2192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   -средним медицинским персоналом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e0e0e0"/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105,1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118,1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103,7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117,1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104,5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117,0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101,4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116,1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99,6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1</w:t>
            </w:r>
            <w:r>
              <w:rPr>
                <w:color w:val="000000"/>
                <w:sz w:val="15"/>
                <w:szCs w:val="15"/>
              </w:rPr>
              <w:t xml:space="preserve">15,8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82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0,</w:t>
            </w:r>
            <w:r>
              <w:rPr>
                <w:color w:val="000000"/>
                <w:sz w:val="15"/>
                <w:szCs w:val="15"/>
              </w:rPr>
              <w:t xml:space="preserve">86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</w:tr>
      <w:tr>
        <w:tblPrEx/>
        <w:trPr>
          <w:trHeight w:val="263"/>
        </w:trPr>
        <w:tc>
          <w:tcPr>
            <w:tcW w:w="2192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</w:rPr>
              <w:t xml:space="preserve">   - койками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e0e0e0"/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50,8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86</w:t>
            </w:r>
            <w:r>
              <w:rPr>
                <w:color w:val="000000"/>
                <w:sz w:val="15"/>
                <w:szCs w:val="15"/>
              </w:rPr>
              <w:t xml:space="preserve">,0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48,2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82,7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47,6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82,0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47,6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81,3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shd w:val="clear" w:color="auto" w:fill="e0e0e0"/>
            <w:tcW w:w="6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48,</w:t>
            </w:r>
            <w:r>
              <w:rPr>
                <w:color w:val="000000"/>
                <w:sz w:val="15"/>
                <w:szCs w:val="15"/>
              </w:rPr>
              <w:t xml:space="preserve">0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68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80,3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  <w:tc>
          <w:tcPr>
            <w:tcW w:w="82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 xml:space="preserve">0,6</w:t>
            </w:r>
            <w:r>
              <w:rPr>
                <w:color w:val="000000"/>
                <w:sz w:val="15"/>
                <w:szCs w:val="15"/>
              </w:rPr>
              <w:t xml:space="preserve">0</w:t>
            </w:r>
            <w:r>
              <w:rPr>
                <w:color w:val="000000"/>
                <w:sz w:val="15"/>
                <w:szCs w:val="15"/>
              </w:rPr>
            </w:r>
            <w:r>
              <w:rPr>
                <w:color w:val="000000"/>
                <w:sz w:val="15"/>
                <w:szCs w:val="15"/>
              </w:rPr>
            </w:r>
          </w:p>
        </w:tc>
      </w:tr>
    </w:tbl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*) по данным </w:t>
      </w:r>
      <w:r>
        <w:rPr>
          <w:color w:val="000000"/>
          <w:sz w:val="28"/>
          <w:szCs w:val="28"/>
        </w:rPr>
        <w:t xml:space="preserve">Белгородстата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08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Общая </w:t>
      </w:r>
      <w:r>
        <w:rPr>
          <w:sz w:val="28"/>
          <w:szCs w:val="28"/>
        </w:rPr>
        <w:t xml:space="preserve">заболеваем</w:t>
      </w:r>
      <w:r>
        <w:rPr>
          <w:sz w:val="28"/>
          <w:szCs w:val="28"/>
        </w:rPr>
        <w:t xml:space="preserve">ость в 2011 году по сра</w:t>
      </w:r>
      <w:r>
        <w:rPr>
          <w:sz w:val="28"/>
          <w:szCs w:val="28"/>
        </w:rPr>
        <w:t xml:space="preserve">внению с 2007 годом уменьшилась на 20,3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 и составила 479,3 на 1000 человек населения</w:t>
      </w:r>
      <w:r>
        <w:rPr>
          <w:sz w:val="28"/>
          <w:szCs w:val="28"/>
        </w:rPr>
        <w:t xml:space="preserve">, но при этом</w:t>
      </w:r>
      <w:r>
        <w:rPr>
          <w:sz w:val="28"/>
          <w:szCs w:val="28"/>
        </w:rPr>
        <w:t xml:space="preserve"> ниже </w:t>
      </w:r>
      <w:r>
        <w:rPr>
          <w:sz w:val="28"/>
          <w:szCs w:val="28"/>
        </w:rPr>
        <w:t xml:space="preserve">среднеобластного</w:t>
      </w:r>
      <w:r>
        <w:rPr>
          <w:sz w:val="28"/>
          <w:szCs w:val="28"/>
        </w:rPr>
        <w:t xml:space="preserve"> показателя на 37,5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процентов</w:t>
      </w:r>
      <w:r>
        <w:rPr>
          <w:sz w:val="28"/>
          <w:szCs w:val="28"/>
        </w:rPr>
        <w:t xml:space="preserve">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08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Заболеваемость детей в 2011 году составила 1221,9 на 1000 детей, что на 30,6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меньше, чем в 2007 году и остается ниже </w:t>
      </w:r>
      <w:r>
        <w:rPr>
          <w:sz w:val="28"/>
          <w:szCs w:val="28"/>
        </w:rPr>
        <w:t xml:space="preserve">среднеобластного</w:t>
      </w:r>
      <w:r>
        <w:rPr>
          <w:sz w:val="28"/>
          <w:szCs w:val="28"/>
        </w:rPr>
        <w:t xml:space="preserve"> показателя на 44,3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 в 2011 году.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2011 году муниципальное образование отстает от областных показателей по обеспеченности на 10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населения врачами  на </w:t>
      </w:r>
      <w:r>
        <w:rPr>
          <w:color w:val="000000"/>
          <w:sz w:val="28"/>
          <w:szCs w:val="28"/>
        </w:rPr>
        <w:t xml:space="preserve">31,2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медицинским персоналом на </w:t>
      </w:r>
      <w:r>
        <w:rPr>
          <w:color w:val="000000"/>
          <w:sz w:val="28"/>
          <w:szCs w:val="28"/>
        </w:rPr>
        <w:t xml:space="preserve">14,0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койками на </w:t>
      </w:r>
      <w:r>
        <w:rPr>
          <w:color w:val="000000"/>
          <w:sz w:val="28"/>
          <w:szCs w:val="28"/>
        </w:rPr>
        <w:t xml:space="preserve">40,2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30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Наибольший удельный вес в структуре заболеваемости населения приходится на: болезни системы </w:t>
      </w:r>
      <w:r>
        <w:rPr>
          <w:color w:val="000000"/>
          <w:sz w:val="28"/>
          <w:szCs w:val="28"/>
        </w:rPr>
        <w:t xml:space="preserve">крообращения</w:t>
      </w:r>
      <w:r>
        <w:rPr>
          <w:color w:val="000000"/>
          <w:sz w:val="28"/>
          <w:szCs w:val="28"/>
        </w:rPr>
        <w:t xml:space="preserve"> – 28,6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болезни органов дыхания – 21,1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костно-мышечной системы – 11,5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заболевания мочеполовой системы – 8,7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травмы, отравления и некоторые другие последствия воздействия внешних причин – 2,8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30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улучшения качества оказания медицинской помощи и снижения заболеваемости продолжа</w:t>
      </w:r>
      <w:r>
        <w:rPr>
          <w:color w:val="000000"/>
          <w:sz w:val="28"/>
          <w:szCs w:val="28"/>
        </w:rPr>
        <w:t xml:space="preserve">ется работа по выполнению областных целевых программ с частичным финансированием из местного бюджета. Реализуются следующие программы: «Предупреждение и борьба с заболеваниями социального характера», «Профилактика и лечение артериальной гипертонии</w:t>
      </w:r>
      <w:r>
        <w:rPr>
          <w:color w:val="000000"/>
          <w:sz w:val="28"/>
          <w:szCs w:val="28"/>
        </w:rPr>
        <w:t xml:space="preserve">»</w:t>
      </w:r>
      <w:r>
        <w:rPr>
          <w:color w:val="000000"/>
          <w:sz w:val="28"/>
          <w:szCs w:val="28"/>
        </w:rPr>
        <w:t xml:space="preserve">, «Пропаганда здорового образа жизни», «Комплексные меры противодействия злоупотреблению  наркотиков и их незаконному обороту», «Здоровый ребенок», «Профилактика и лечение стоматологических заболеваний у детей».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Одним из важнейших направлений деятельности учреждений здравоохран</w:t>
      </w:r>
      <w:r>
        <w:rPr>
          <w:color w:val="000000"/>
          <w:sz w:val="28"/>
          <w:szCs w:val="28"/>
        </w:rPr>
        <w:t xml:space="preserve">ения в части совершенствования медицинской помощи населению является улучшение демографической ситуации, в том числе охрана репродуктивного здоровья, повышение рождаемости,  профилактика и снижение абортов, материнской и детской смертности.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рамках реализации приоритетного национального проекта «Здоровье» за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2011 год выдано 536 родовых сертификатов. Охват детей вакцинацией согласно национальному календарю прививок составляет 101,9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процентов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30"/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результате реализации программ наблюдается рост рождаемости.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1</w:t>
      </w:r>
      <w:r>
        <w:rPr>
          <w:i/>
          <w:color w:val="000000"/>
          <w:sz w:val="28"/>
          <w:szCs w:val="28"/>
        </w:rPr>
        <w:t xml:space="preserve">4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Основные показатели репродуктивного здоровья </w:t>
      </w:r>
      <w:r>
        <w:rPr>
          <w:b/>
          <w:color w:val="000000"/>
          <w:sz w:val="28"/>
          <w:szCs w:val="28"/>
        </w:rPr>
        <w:t xml:space="preserve">в МО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08"/>
        <w:rPr>
          <w:b/>
          <w:color w:val="000000"/>
        </w:rPr>
      </w:pPr>
      <w:r>
        <w:rPr>
          <w:b/>
          <w:color w:val="000000"/>
        </w:rPr>
      </w:r>
      <w:r>
        <w:rPr>
          <w:b/>
          <w:color w:val="000000"/>
        </w:rPr>
      </w:r>
      <w:r>
        <w:rPr>
          <w:b/>
          <w:color w:val="000000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4396"/>
        <w:gridCol w:w="1041"/>
        <w:gridCol w:w="1041"/>
        <w:gridCol w:w="1042"/>
        <w:gridCol w:w="1041"/>
        <w:gridCol w:w="1042"/>
      </w:tblGrid>
      <w:tr>
        <w:tblPrEx/>
        <w:trPr>
          <w:trHeight w:val="549"/>
        </w:trPr>
        <w:tc>
          <w:tcPr>
            <w:tcW w:w="4396" w:type="dxa"/>
            <w:textDirection w:val="lrTb"/>
            <w:noWrap w:val="false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Показатели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pStyle w:val="1034"/>
              <w:tabs>
                <w:tab w:val="clear" w:pos="4677" w:leader="none"/>
                <w:tab w:val="clear" w:pos="9355" w:leader="none"/>
              </w:tabs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1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2007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41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2008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42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2009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41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2010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42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2011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264"/>
        </w:trPr>
        <w:tc>
          <w:tcPr>
            <w:tcW w:w="4396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Рождаемость на 1000 чел. населения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</w:t>
            </w:r>
            <w:r>
              <w:rPr>
                <w:color w:val="000000"/>
              </w:rPr>
              <w:t xml:space="preserve">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  <w:t xml:space="preserve">,</w:t>
            </w: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84"/>
        </w:trPr>
        <w:tc>
          <w:tcPr>
            <w:tcW w:w="4396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Детская смертность (на 1000 родившихся)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2,3</w:t>
            </w:r>
            <w:r/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19,9</w:t>
            </w:r>
            <w:r/>
          </w:p>
        </w:tc>
        <w:tc>
          <w:tcPr>
            <w:tcW w:w="104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813"/>
        </w:trPr>
        <w:tc>
          <w:tcPr>
            <w:tcW w:w="4396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Перинатальная смертность (мертворожденные и смерть до 6 дней на 1000 родившихся живыми)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2,48</w:t>
            </w:r>
            <w:r/>
          </w:p>
        </w:tc>
        <w:tc>
          <w:tcPr>
            <w:tcW w:w="104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5,2</w:t>
            </w:r>
            <w:r/>
          </w:p>
        </w:tc>
        <w:tc>
          <w:tcPr>
            <w:tcW w:w="104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69"/>
        </w:trPr>
        <w:tc>
          <w:tcPr>
            <w:tcW w:w="4396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Младенческая смертность (смерть до 1 года на 1000 родившихся живыми)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2,3</w:t>
            </w:r>
            <w:r/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7,3</w:t>
            </w:r>
            <w:r/>
          </w:p>
        </w:tc>
        <w:tc>
          <w:tcPr>
            <w:tcW w:w="104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</w:tbl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Показатель рождаемости </w:t>
      </w:r>
      <w:r>
        <w:rPr>
          <w:color w:val="000000"/>
          <w:sz w:val="28"/>
          <w:szCs w:val="28"/>
        </w:rPr>
        <w:t xml:space="preserve">снизился на 6,0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по сравнению с 2007 годом  и составил в 2011 году </w:t>
      </w:r>
      <w:r>
        <w:rPr>
          <w:color w:val="000000"/>
          <w:sz w:val="28"/>
          <w:szCs w:val="28"/>
        </w:rPr>
        <w:t xml:space="preserve">12,5</w:t>
      </w:r>
      <w:r>
        <w:rPr>
          <w:color w:val="000000"/>
          <w:sz w:val="28"/>
          <w:szCs w:val="28"/>
        </w:rPr>
        <w:t xml:space="preserve">. 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drawing>
          <wp:inline distT="0" distB="0" distL="0" distR="0">
            <wp:extent cx="5514975" cy="1790700"/>
            <wp:effectExtent l="0" t="0" r="0" b="0"/>
            <wp:docPr id="9" name="Объект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Рис.4. </w:t>
      </w:r>
      <w:r>
        <w:rPr>
          <w:b/>
          <w:color w:val="000000"/>
          <w:sz w:val="28"/>
          <w:szCs w:val="28"/>
        </w:rPr>
        <w:t xml:space="preserve">Соотношение рождаемости и детской смертности </w:t>
      </w:r>
      <w:r>
        <w:rPr>
          <w:b/>
          <w:color w:val="000000"/>
          <w:sz w:val="28"/>
          <w:szCs w:val="28"/>
        </w:rPr>
        <w:t xml:space="preserve">в МО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08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08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Показатели детской смертности, младенческой смертности за период с 2007 года по 2011 год изменялись не равномерно</w:t>
      </w:r>
      <w:r>
        <w:rPr>
          <w:color w:val="000000"/>
          <w:sz w:val="28"/>
          <w:szCs w:val="28"/>
        </w:rPr>
        <w:t xml:space="preserve"> (рис.4)</w:t>
      </w:r>
      <w:r>
        <w:rPr>
          <w:color w:val="000000"/>
          <w:sz w:val="28"/>
          <w:szCs w:val="28"/>
        </w:rPr>
        <w:t xml:space="preserve">. Показатель перинатальной смертности снижается.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Проводится разбор каждого случая смерти в Областном государственном бюджетном учреждении здравоохранения «</w:t>
      </w:r>
      <w:r>
        <w:rPr>
          <w:sz w:val="28"/>
          <w:szCs w:val="28"/>
        </w:rPr>
        <w:t xml:space="preserve">Чернянская</w:t>
      </w:r>
      <w:r>
        <w:rPr>
          <w:sz w:val="28"/>
          <w:szCs w:val="28"/>
        </w:rPr>
        <w:t xml:space="preserve"> ЦРБ» и на областной комиссии по изучению летальных исходов, разработан план по снижению младенческой смертности.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Одним из важнейших условий обеспечения населения качественной медицинской помощью является кадровый потенциал лечебно-профилактических учреждений</w:t>
      </w:r>
      <w:r>
        <w:rPr>
          <w:color w:val="000000"/>
          <w:sz w:val="28"/>
          <w:szCs w:val="28"/>
        </w:rPr>
        <w:t xml:space="preserve"> (таблица 15)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1</w:t>
      </w:r>
      <w:r>
        <w:rPr>
          <w:i/>
          <w:color w:val="000000"/>
          <w:sz w:val="28"/>
          <w:szCs w:val="28"/>
        </w:rPr>
        <w:t xml:space="preserve">5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pStyle w:val="10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Кадровый потенциал медицинских учреждений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 МО</w:t>
      </w:r>
      <w:r>
        <w:rPr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4341"/>
        <w:gridCol w:w="1028"/>
        <w:gridCol w:w="1028"/>
        <w:gridCol w:w="1029"/>
        <w:gridCol w:w="1028"/>
        <w:gridCol w:w="1029"/>
      </w:tblGrid>
      <w:tr>
        <w:tblPrEx/>
        <w:trPr>
          <w:trHeight w:val="583"/>
        </w:trPr>
        <w:tc>
          <w:tcPr>
            <w:tcW w:w="4341" w:type="dxa"/>
            <w:textDirection w:val="lrTb"/>
            <w:noWrap w:val="false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Показатели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pStyle w:val="1034"/>
              <w:tabs>
                <w:tab w:val="clear" w:pos="4677" w:leader="none"/>
                <w:tab w:val="clear" w:pos="9355" w:leader="none"/>
              </w:tabs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8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2007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28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2008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29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2009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28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2010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29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2011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302"/>
        </w:trPr>
        <w:tc>
          <w:tcPr>
            <w:tcW w:w="4341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Количество врачей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81"/>
        </w:trPr>
        <w:tc>
          <w:tcPr>
            <w:tcW w:w="4341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Количество врачей общей практики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81"/>
        </w:trPr>
        <w:tc>
          <w:tcPr>
            <w:tcW w:w="4341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Количество средних медработников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352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81"/>
        </w:trPr>
        <w:tc>
          <w:tcPr>
            <w:tcW w:w="4341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Укомплектованность врачами,</w:t>
            </w:r>
            <w:r>
              <w:rPr>
                <w:color w:val="000000"/>
              </w:rPr>
              <w:t xml:space="preserve">%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94,6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93,3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91,6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89,8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88,1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83"/>
        </w:trPr>
        <w:tc>
          <w:tcPr>
            <w:tcW w:w="4341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Укомплектованность средним медперсоналом,</w:t>
            </w:r>
            <w:r>
              <w:rPr>
                <w:color w:val="000000"/>
              </w:rPr>
              <w:t xml:space="preserve">%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98,8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98,6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94,8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98,0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2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96,8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</w:tbl>
    <w:p>
      <w:pPr>
        <w:ind w:firstLine="708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  <w:r>
        <w:rPr>
          <w:color w:val="ff0000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Из-за кадровой ситуации в медицинских учреждениях в последние годы поддерживать качество медицинской помощи очень сложно. Особенно сложное положение с обеспе</w:t>
      </w:r>
      <w:r>
        <w:rPr>
          <w:color w:val="000000"/>
          <w:sz w:val="28"/>
          <w:szCs w:val="28"/>
        </w:rPr>
        <w:t xml:space="preserve">ченностью врачебными кадрами. Из таблицы видно, что  на протяжении всего анализируемого периода стоит проблема нехватки врачей. При практически полной обеспеченности средним медицинским персоналом (96,8%), укомплектованность врачами составляет 88,1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процентов</w:t>
      </w:r>
      <w:r>
        <w:rPr>
          <w:color w:val="000000"/>
          <w:sz w:val="28"/>
          <w:szCs w:val="28"/>
        </w:rPr>
        <w:t xml:space="preserve">. 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Главное звено в системе медицинского обслуживания - амбулаторно-поликлиническая служба. За 2011 год оказана помощь 350 689 больным, то есть каждый житель района в среднем 10,8 раза посетил поликлинику.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Cs w:val="28"/>
        </w:rPr>
      </w:pPr>
      <w:r>
        <w:rPr>
          <w:color w:val="000000"/>
          <w:sz w:val="28"/>
          <w:szCs w:val="28"/>
        </w:rPr>
        <w:t xml:space="preserve">В рамках национального проекта «Здоровье» в 2011 году произведены денежные выплаты врачам-терапевтам, участковым, врачам-педиатрам участковых, врачам общей семейной практики и их медицинским сестрам в общей сумме  4 336,3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, на </w:t>
      </w:r>
      <w:r>
        <w:rPr>
          <w:color w:val="000000"/>
          <w:sz w:val="28"/>
          <w:szCs w:val="28"/>
        </w:rPr>
        <w:t xml:space="preserve">ФАПы</w:t>
      </w:r>
      <w:r>
        <w:rPr>
          <w:color w:val="000000"/>
          <w:sz w:val="28"/>
          <w:szCs w:val="28"/>
        </w:rPr>
        <w:t xml:space="preserve"> и скорую помощь выплачено</w:t>
      </w:r>
      <w:r>
        <w:rPr>
          <w:color w:val="000000"/>
          <w:sz w:val="28"/>
          <w:szCs w:val="28"/>
        </w:rPr>
        <w:t xml:space="preserve">  2 925,2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2007-2011 годах развитию материально-технической базы учреждений здравоохранения уделялось повышенное внимание. Произведен капительный ремонт амбулаторий.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2011 году ввели в эксплуатацию новое здание центральной районной больницы с поликлиникой. Открыты офисы врачей общей (семейной) практики в поселке и селах округа.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Продолжается работа по оснащению</w:t>
      </w:r>
      <w:r>
        <w:rPr>
          <w:color w:val="000000"/>
          <w:sz w:val="28"/>
          <w:szCs w:val="28"/>
        </w:rPr>
        <w:t xml:space="preserve"> учреждений здравоохранения новым медицинским оборудованием, автотранспортом, внедрению современных медицинских технологий, расширению информационных баз для учета и обработки  информации в рамках  реализации приоритетного национального проекта «Здоровье».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2011 году приобрели медицинское оборудование на сумму 567,7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Тем не менее, несмотря на достигнутые</w:t>
      </w:r>
      <w:r>
        <w:rPr>
          <w:color w:val="000000"/>
          <w:sz w:val="28"/>
          <w:szCs w:val="28"/>
        </w:rPr>
        <w:t xml:space="preserve"> в последние годы успехи в области здравоохранения, для населения муниципального образования, как показало анкетирование, вопросы улучшения медицинского обслуживания остаются одними из основных среди перечня проблем, волнующих население.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29"/>
        <w:jc w:val="center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029"/>
        <w:jc w:val="center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029"/>
        <w:jc w:val="center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</w:t>
      </w:r>
      <w:r>
        <w:rPr>
          <w:b/>
          <w:sz w:val="28"/>
          <w:szCs w:val="28"/>
        </w:rPr>
        <w:t xml:space="preserve">8</w:t>
      </w:r>
      <w:r>
        <w:rPr>
          <w:b/>
          <w:sz w:val="28"/>
          <w:szCs w:val="28"/>
        </w:rPr>
        <w:t xml:space="preserve">. Образование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029"/>
        <w:jc w:val="center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029"/>
        <w:ind w:firstLine="709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Система образования </w:t>
      </w:r>
      <w:r>
        <w:rPr>
          <w:sz w:val="28"/>
          <w:szCs w:val="28"/>
        </w:rPr>
        <w:t xml:space="preserve">представлена муниципальными общеобразовательными учреждениями (средние, основные и начальные общеобразовательные школы), дошкольными образовательными учреждениями, учреждениями дополнительного образования детей, государственным образовательным </w:t>
      </w:r>
      <w:r>
        <w:rPr>
          <w:sz w:val="28"/>
          <w:szCs w:val="28"/>
        </w:rPr>
        <w:t xml:space="preserve">учреждением начального профессионального образования «Профессиональное училище № 7».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9"/>
        <w:ind w:firstLine="709"/>
        <w:jc w:val="both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1</w:t>
      </w:r>
      <w:r>
        <w:rPr>
          <w:i/>
          <w:sz w:val="28"/>
          <w:szCs w:val="28"/>
        </w:rPr>
        <w:t xml:space="preserve">6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Количественная характеристика объектов </w:t>
      </w:r>
      <w:r>
        <w:rPr>
          <w:b/>
          <w:sz w:val="28"/>
          <w:szCs w:val="28"/>
        </w:rPr>
        <w:t xml:space="preserve">в МО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(на начало учебного года)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8"/>
        <w:jc w:val="center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tbl>
      <w:tblPr>
        <w:tblW w:w="968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740"/>
        <w:gridCol w:w="888"/>
        <w:gridCol w:w="888"/>
        <w:gridCol w:w="889"/>
        <w:gridCol w:w="888"/>
        <w:gridCol w:w="889"/>
        <w:gridCol w:w="1501"/>
      </w:tblGrid>
      <w:tr>
        <w:tblPrEx/>
        <w:trPr>
          <w:trHeight w:val="865"/>
        </w:trPr>
        <w:tc>
          <w:tcPr>
            <w:tcW w:w="374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Вид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образовательного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учреждения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88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2007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88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2008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89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2009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88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2010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89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2011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50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Темп роста 2011 к 2007,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rHeight w:val="274"/>
        </w:trPr>
        <w:tc>
          <w:tcPr>
            <w:tcW w:w="3740" w:type="dxa"/>
            <w:textDirection w:val="lrTb"/>
            <w:noWrap w:val="false"/>
          </w:tcPr>
          <w:p>
            <w:r>
              <w:t xml:space="preserve">Детские дошкольные учреждения</w:t>
            </w:r>
            <w:r/>
          </w:p>
        </w:tc>
        <w:tc>
          <w:tcPr>
            <w:tcW w:w="888" w:type="dxa"/>
            <w:textDirection w:val="lrTb"/>
            <w:noWrap w:val="false"/>
          </w:tcPr>
          <w:p>
            <w:pPr>
              <w:jc w:val="center"/>
            </w:pPr>
            <w:r>
              <w:t xml:space="preserve">12</w:t>
            </w:r>
            <w:r/>
          </w:p>
        </w:tc>
        <w:tc>
          <w:tcPr>
            <w:tcW w:w="888" w:type="dxa"/>
            <w:textDirection w:val="lrTb"/>
            <w:noWrap w:val="false"/>
          </w:tcPr>
          <w:p>
            <w:pPr>
              <w:jc w:val="center"/>
            </w:pPr>
            <w:r>
              <w:t xml:space="preserve">12</w:t>
            </w:r>
            <w:r/>
          </w:p>
        </w:tc>
        <w:tc>
          <w:tcPr>
            <w:tcW w:w="889" w:type="dxa"/>
            <w:textDirection w:val="lrTb"/>
            <w:noWrap w:val="false"/>
          </w:tcPr>
          <w:p>
            <w:pPr>
              <w:jc w:val="center"/>
            </w:pPr>
            <w:r>
              <w:t xml:space="preserve">14</w:t>
            </w:r>
            <w:r/>
          </w:p>
        </w:tc>
        <w:tc>
          <w:tcPr>
            <w:tcW w:w="888" w:type="dxa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>
              <w:t xml:space="preserve">5</w:t>
            </w:r>
            <w:r/>
          </w:p>
        </w:tc>
        <w:tc>
          <w:tcPr>
            <w:tcW w:w="889" w:type="dxa"/>
            <w:textDirection w:val="lrTb"/>
            <w:noWrap w:val="false"/>
          </w:tcPr>
          <w:p>
            <w:pPr>
              <w:jc w:val="center"/>
            </w:pPr>
            <w:r>
              <w:t xml:space="preserve">15</w:t>
            </w:r>
            <w:r/>
          </w:p>
        </w:tc>
        <w:tc>
          <w:tcPr>
            <w:tcW w:w="1501" w:type="dxa"/>
            <w:textDirection w:val="lrTb"/>
            <w:noWrap w:val="false"/>
          </w:tcPr>
          <w:p>
            <w:pPr>
              <w:jc w:val="center"/>
            </w:pPr>
            <w:r>
              <w:t xml:space="preserve">125,0</w:t>
            </w:r>
            <w:r/>
          </w:p>
        </w:tc>
      </w:tr>
      <w:tr>
        <w:tblPrEx/>
        <w:trPr>
          <w:trHeight w:val="274"/>
        </w:trPr>
        <w:tc>
          <w:tcPr>
            <w:tcW w:w="3740" w:type="dxa"/>
            <w:textDirection w:val="lrTb"/>
            <w:noWrap w:val="false"/>
          </w:tcPr>
          <w:p>
            <w:r>
              <w:t xml:space="preserve">Общеобразовательные школы</w:t>
            </w:r>
            <w:r/>
          </w:p>
        </w:tc>
        <w:tc>
          <w:tcPr>
            <w:tcW w:w="888" w:type="dxa"/>
            <w:textDirection w:val="lrTb"/>
            <w:noWrap w:val="false"/>
          </w:tcPr>
          <w:p>
            <w:pPr>
              <w:jc w:val="center"/>
            </w:pPr>
            <w:r>
              <w:t xml:space="preserve">32</w:t>
            </w:r>
            <w:r/>
          </w:p>
        </w:tc>
        <w:tc>
          <w:tcPr>
            <w:tcW w:w="888" w:type="dxa"/>
            <w:textDirection w:val="lrTb"/>
            <w:noWrap w:val="false"/>
          </w:tcPr>
          <w:p>
            <w:pPr>
              <w:jc w:val="center"/>
            </w:pPr>
            <w:r>
              <w:t xml:space="preserve">29</w:t>
            </w:r>
            <w:r/>
          </w:p>
        </w:tc>
        <w:tc>
          <w:tcPr>
            <w:tcW w:w="889" w:type="dxa"/>
            <w:textDirection w:val="lrTb"/>
            <w:noWrap w:val="false"/>
          </w:tcPr>
          <w:p>
            <w:pPr>
              <w:jc w:val="center"/>
            </w:pPr>
            <w:r>
              <w:t xml:space="preserve">23</w:t>
            </w:r>
            <w:r/>
          </w:p>
        </w:tc>
        <w:tc>
          <w:tcPr>
            <w:tcW w:w="888" w:type="dxa"/>
            <w:textDirection w:val="lrTb"/>
            <w:noWrap w:val="false"/>
          </w:tcPr>
          <w:p>
            <w:pPr>
              <w:jc w:val="center"/>
            </w:pPr>
            <w:r>
              <w:t xml:space="preserve">22</w:t>
            </w:r>
            <w:r/>
          </w:p>
        </w:tc>
        <w:tc>
          <w:tcPr>
            <w:tcW w:w="889" w:type="dxa"/>
            <w:textDirection w:val="lrTb"/>
            <w:noWrap w:val="false"/>
          </w:tcPr>
          <w:p>
            <w:pPr>
              <w:jc w:val="center"/>
            </w:pPr>
            <w:r>
              <w:t xml:space="preserve">22</w:t>
            </w:r>
            <w:r/>
          </w:p>
        </w:tc>
        <w:tc>
          <w:tcPr>
            <w:tcW w:w="1501" w:type="dxa"/>
            <w:textDirection w:val="lrTb"/>
            <w:noWrap w:val="false"/>
          </w:tcPr>
          <w:p>
            <w:pPr>
              <w:jc w:val="center"/>
            </w:pPr>
            <w:r>
              <w:t xml:space="preserve">68,8</w:t>
            </w:r>
            <w:r/>
          </w:p>
        </w:tc>
      </w:tr>
      <w:tr>
        <w:tblPrEx/>
        <w:trPr>
          <w:trHeight w:val="865"/>
        </w:trPr>
        <w:tc>
          <w:tcPr>
            <w:tcW w:w="3740" w:type="dxa"/>
            <w:textDirection w:val="lrTb"/>
            <w:noWrap w:val="false"/>
          </w:tcPr>
          <w:p>
            <w:r>
              <w:t xml:space="preserve">в том числе общеобразовательные школы, в которых организованы дошкольные группы</w:t>
            </w:r>
            <w:r/>
          </w:p>
        </w:tc>
        <w:tc>
          <w:tcPr>
            <w:tcW w:w="888" w:type="dxa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W w:w="888" w:type="dxa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  <w:tc>
          <w:tcPr>
            <w:tcW w:w="889" w:type="dxa"/>
            <w:textDirection w:val="lrTb"/>
            <w:noWrap w:val="false"/>
          </w:tcPr>
          <w:p>
            <w:pPr>
              <w:jc w:val="center"/>
            </w:pPr>
            <w:r>
              <w:t xml:space="preserve">7</w:t>
            </w:r>
            <w:r/>
          </w:p>
        </w:tc>
        <w:tc>
          <w:tcPr>
            <w:tcW w:w="888" w:type="dxa"/>
            <w:textDirection w:val="lrTb"/>
            <w:noWrap w:val="false"/>
          </w:tcPr>
          <w:p>
            <w:pPr>
              <w:jc w:val="center"/>
            </w:pPr>
            <w:r>
              <w:t xml:space="preserve">8</w:t>
            </w:r>
            <w:r/>
          </w:p>
        </w:tc>
        <w:tc>
          <w:tcPr>
            <w:tcW w:w="889" w:type="dxa"/>
            <w:textDirection w:val="lrTb"/>
            <w:noWrap w:val="false"/>
          </w:tcPr>
          <w:p>
            <w:pPr>
              <w:jc w:val="center"/>
            </w:pPr>
            <w:r>
              <w:t xml:space="preserve">9</w:t>
            </w:r>
            <w:r/>
          </w:p>
        </w:tc>
        <w:tc>
          <w:tcPr>
            <w:tcW w:w="1501" w:type="dxa"/>
            <w:textDirection w:val="lrTb"/>
            <w:noWrap w:val="false"/>
          </w:tcPr>
          <w:p>
            <w:pPr>
              <w:jc w:val="center"/>
            </w:pPr>
            <w:r>
              <w:t xml:space="preserve">в 1,8 раза</w:t>
            </w:r>
            <w:r/>
          </w:p>
        </w:tc>
      </w:tr>
      <w:tr>
        <w:tblPrEx/>
        <w:trPr>
          <w:trHeight w:val="569"/>
        </w:trPr>
        <w:tc>
          <w:tcPr>
            <w:tcW w:w="3740" w:type="dxa"/>
            <w:textDirection w:val="lrTb"/>
            <w:noWrap w:val="false"/>
          </w:tcPr>
          <w:p>
            <w:r>
              <w:t xml:space="preserve">Учреждения начального профессионального образования</w:t>
            </w:r>
            <w:r/>
          </w:p>
        </w:tc>
        <w:tc>
          <w:tcPr>
            <w:tcW w:w="888" w:type="dxa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W w:w="888" w:type="dxa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W w:w="889" w:type="dxa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W w:w="888" w:type="dxa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W w:w="889" w:type="dxa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W w:w="1501" w:type="dxa"/>
            <w:textDirection w:val="lrTb"/>
            <w:noWrap w:val="false"/>
          </w:tcPr>
          <w:p>
            <w:pPr>
              <w:jc w:val="center"/>
            </w:pPr>
            <w:r>
              <w:t xml:space="preserve">100,0</w:t>
            </w:r>
            <w:r/>
          </w:p>
        </w:tc>
      </w:tr>
      <w:tr>
        <w:tblPrEx/>
        <w:trPr>
          <w:trHeight w:val="591"/>
        </w:trPr>
        <w:tc>
          <w:tcPr>
            <w:tcW w:w="3740" w:type="dxa"/>
            <w:textDirection w:val="lrTb"/>
            <w:noWrap w:val="false"/>
          </w:tcPr>
          <w:p>
            <w:r>
              <w:t xml:space="preserve">Учреждения дополнительного образования</w:t>
            </w:r>
            <w:r/>
          </w:p>
        </w:tc>
        <w:tc>
          <w:tcPr>
            <w:tcW w:w="888" w:type="dxa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tcW w:w="888" w:type="dxa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tcW w:w="889" w:type="dxa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tcW w:w="888" w:type="dxa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tcW w:w="889" w:type="dxa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tcW w:w="1501" w:type="dxa"/>
            <w:textDirection w:val="lrTb"/>
            <w:noWrap w:val="false"/>
          </w:tcPr>
          <w:p>
            <w:pPr>
              <w:jc w:val="center"/>
            </w:pPr>
            <w:r>
              <w:t xml:space="preserve">133,3</w:t>
            </w:r>
            <w:r/>
          </w:p>
        </w:tc>
      </w:tr>
    </w:tbl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дошкольных учреждений  в 2011 году в сравнении с                2007 годом выросло на 25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процентов</w:t>
      </w:r>
      <w:r>
        <w:rPr>
          <w:sz w:val="28"/>
          <w:szCs w:val="28"/>
        </w:rPr>
        <w:t xml:space="preserve">. В настоящее время  дошкольное образование представлено 15 детскими садами, группами детей дошкольного возраста на базе 9 школ. Из действующих дошкольных учреж</w:t>
      </w:r>
      <w:r>
        <w:rPr>
          <w:sz w:val="28"/>
          <w:szCs w:val="28"/>
        </w:rPr>
        <w:t xml:space="preserve">дений – 2 центра развития ребенка, 1  детский сад комбинированного вида, 3  детских сада с приоритетным осуществлением художественно-эстетического развития, 9 имеют статус детского сада. На 01.01.2012 года в дошкольных образовательных учреждениях воспитыва</w:t>
      </w:r>
      <w:r>
        <w:rPr>
          <w:sz w:val="28"/>
          <w:szCs w:val="28"/>
        </w:rPr>
        <w:t xml:space="preserve">лось</w:t>
      </w:r>
      <w:r>
        <w:rPr>
          <w:sz w:val="28"/>
          <w:szCs w:val="28"/>
        </w:rPr>
        <w:t xml:space="preserve"> 1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391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ребенок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идей развивающего образования обеспечивается комплексной программой «Детство» и Программой воспитания и обучения в детском саду под руководством </w:t>
      </w:r>
      <w:r>
        <w:rPr>
          <w:sz w:val="28"/>
          <w:szCs w:val="28"/>
        </w:rPr>
        <w:t xml:space="preserve">М.А.Васильевой</w:t>
      </w:r>
      <w:r>
        <w:rPr>
          <w:sz w:val="28"/>
          <w:szCs w:val="28"/>
        </w:rPr>
        <w:t xml:space="preserve">. Реализуются дополнительные программы физкультурно-оздоровительной, познавательно-речевой, художественно-эстетической, социально-личностной направленност</w:t>
      </w:r>
      <w:r>
        <w:rPr>
          <w:sz w:val="28"/>
          <w:szCs w:val="28"/>
        </w:rPr>
        <w:t xml:space="preserve">ей</w:t>
      </w:r>
      <w:r>
        <w:rPr>
          <w:sz w:val="28"/>
          <w:szCs w:val="28"/>
        </w:rPr>
        <w:t xml:space="preserve">. Эти программы  направлены на формирование базиса личной культуры, развитие познавательных процессов, коммуникативных и духовно-нравственных качеств личности ребенка дошкольного возраста.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ДОУ работа</w:t>
      </w:r>
      <w:r>
        <w:rPr>
          <w:sz w:val="28"/>
          <w:szCs w:val="28"/>
        </w:rPr>
        <w:t xml:space="preserve">ю</w:t>
      </w:r>
      <w:r>
        <w:rPr>
          <w:sz w:val="28"/>
          <w:szCs w:val="28"/>
        </w:rPr>
        <w:t xml:space="preserve">т 185 педагогов, из них 37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 имеют высшее образование. Охват детей  услугами  дошкольного образования составляет 74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 (в поселке – 83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, в сельской местности – 63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). Охват </w:t>
      </w:r>
      <w:r>
        <w:rPr>
          <w:sz w:val="28"/>
          <w:szCs w:val="28"/>
        </w:rPr>
        <w:t xml:space="preserve">предшкольным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образованием детей от 5 до 7 лет составляет 92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, в том числе в поселке 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100%, в селе </w:t>
      </w: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81%.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color w:val="ff0000"/>
        </w:rPr>
      </w:pPr>
      <w:r>
        <w:rPr>
          <w:color w:val="ff0000"/>
        </w:rPr>
      </w:r>
      <w:r>
        <w:rPr>
          <w:color w:val="ff0000"/>
        </w:rPr>
      </w:r>
      <w:r>
        <w:rPr>
          <w:color w:val="ff0000"/>
        </w:rPr>
      </w:r>
    </w:p>
    <w:p>
      <w:pPr>
        <w:pStyle w:val="1010"/>
        <w:rPr>
          <w:b w:val="0"/>
          <w:i/>
          <w:sz w:val="28"/>
          <w:szCs w:val="28"/>
        </w:rPr>
      </w:pPr>
      <w:r>
        <w:rPr>
          <w:b w:val="0"/>
          <w:i/>
          <w:sz w:val="28"/>
          <w:szCs w:val="28"/>
        </w:rPr>
        <w:t xml:space="preserve">Таблица 1</w:t>
      </w:r>
      <w:r>
        <w:rPr>
          <w:b w:val="0"/>
          <w:i/>
          <w:sz w:val="28"/>
          <w:szCs w:val="28"/>
        </w:rPr>
        <w:t xml:space="preserve">7</w:t>
      </w:r>
      <w:r>
        <w:rPr>
          <w:b w:val="0"/>
          <w:i/>
          <w:sz w:val="28"/>
          <w:szCs w:val="28"/>
        </w:rPr>
      </w:r>
      <w:r>
        <w:rPr>
          <w:b w:val="0"/>
          <w:i/>
          <w:sz w:val="28"/>
          <w:szCs w:val="28"/>
        </w:rPr>
      </w:r>
    </w:p>
    <w:p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показатели сферы образования </w:t>
      </w:r>
      <w:r>
        <w:rPr>
          <w:b/>
          <w:sz w:val="28"/>
          <w:szCs w:val="28"/>
        </w:rPr>
        <w:t xml:space="preserve">в МО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(на начало учебного года)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7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000"/>
        <w:gridCol w:w="815"/>
        <w:gridCol w:w="816"/>
        <w:gridCol w:w="816"/>
        <w:gridCol w:w="816"/>
        <w:gridCol w:w="816"/>
        <w:gridCol w:w="1643"/>
      </w:tblGrid>
      <w:tr>
        <w:tblPrEx/>
        <w:trPr>
          <w:trHeight w:val="308"/>
          <w:tblHeader/>
        </w:trPr>
        <w:tc>
          <w:tcPr>
            <w:tcW w:w="400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pStyle w:val="100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Показатели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815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2007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1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2008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1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2009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1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2010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1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2011год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64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Темп роста 2011 к 2007,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rHeight w:val="308"/>
        </w:trPr>
        <w:tc>
          <w:tcPr>
            <w:tcW w:w="4000" w:type="dxa"/>
            <w:textDirection w:val="lrTb"/>
            <w:noWrap w:val="false"/>
          </w:tcPr>
          <w:p>
            <w:r>
              <w:t xml:space="preserve">Выпуск учащихся общеобразовательных школ, человек </w:t>
            </w:r>
            <w:r/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663</w:t>
            </w:r>
            <w:r/>
          </w:p>
        </w:tc>
        <w:tc>
          <w:tcPr>
            <w:tcW w:w="816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663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W w:w="816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593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W w:w="816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613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621</w:t>
            </w:r>
            <w:r/>
          </w:p>
        </w:tc>
        <w:tc>
          <w:tcPr>
            <w:tcW w:w="16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93,7</w:t>
            </w:r>
            <w:r/>
          </w:p>
        </w:tc>
      </w:tr>
      <w:tr>
        <w:tblPrEx/>
        <w:trPr>
          <w:trHeight w:val="308"/>
        </w:trPr>
        <w:tc>
          <w:tcPr>
            <w:tcW w:w="4000" w:type="dxa"/>
            <w:textDirection w:val="lrTb"/>
            <w:noWrap w:val="false"/>
          </w:tcPr>
          <w:p>
            <w:pPr>
              <w:pStyle w:val="1034"/>
              <w:tabs>
                <w:tab w:val="clear" w:pos="4677" w:leader="none"/>
                <w:tab w:val="clear" w:pos="9355" w:leader="none"/>
              </w:tabs>
            </w:pPr>
            <w:r>
              <w:t xml:space="preserve">Обеспеченность общеобразовательных школ компьютерной техникой              (учеников на 1 компьютер)</w:t>
            </w:r>
            <w:r/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9,5</w:t>
            </w:r>
            <w:r/>
          </w:p>
        </w:tc>
        <w:tc>
          <w:tcP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8,5</w:t>
            </w:r>
            <w:r/>
          </w:p>
        </w:tc>
        <w:tc>
          <w:tcP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8,5</w:t>
            </w:r>
            <w:r/>
          </w:p>
        </w:tc>
        <w:tc>
          <w:tcP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7,5</w:t>
            </w:r>
            <w:r/>
          </w:p>
        </w:tc>
        <w:tc>
          <w:tcP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</w:t>
            </w:r>
            <w:r>
              <w:t xml:space="preserve">,0</w:t>
            </w:r>
            <w:r/>
          </w:p>
        </w:tc>
        <w:tc>
          <w:tcPr>
            <w:tcW w:w="16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73,7</w:t>
            </w:r>
            <w:r/>
          </w:p>
        </w:tc>
      </w:tr>
      <w:tr>
        <w:tblPrEx/>
        <w:trPr>
          <w:trHeight w:val="308"/>
        </w:trPr>
        <w:tc>
          <w:tcPr>
            <w:tcW w:w="4000" w:type="dxa"/>
            <w:textDirection w:val="lrTb"/>
            <w:noWrap w:val="false"/>
          </w:tcPr>
          <w:p>
            <w:r>
              <w:t xml:space="preserve">Число общеобразовательных школ, имеющих выход в Интернет</w:t>
            </w:r>
            <w:r/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32</w:t>
            </w:r>
            <w:r/>
          </w:p>
        </w:tc>
        <w:tc>
          <w:tcP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29</w:t>
            </w:r>
            <w:r/>
          </w:p>
        </w:tc>
        <w:tc>
          <w:tcP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23</w:t>
            </w:r>
            <w:r/>
          </w:p>
        </w:tc>
        <w:tc>
          <w:tcP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22</w:t>
            </w:r>
            <w:r/>
          </w:p>
        </w:tc>
        <w:tc>
          <w:tcPr>
            <w:tcW w:w="8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22</w:t>
            </w:r>
            <w:r/>
          </w:p>
        </w:tc>
        <w:tc>
          <w:tcPr>
            <w:tcW w:w="16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68,8</w:t>
            </w:r>
            <w:r/>
          </w:p>
        </w:tc>
      </w:tr>
    </w:tbl>
    <w:p>
      <w:pPr>
        <w:ind w:firstLine="708"/>
        <w:jc w:val="right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1</w:t>
      </w:r>
      <w:r>
        <w:rPr>
          <w:i/>
          <w:sz w:val="28"/>
          <w:szCs w:val="28"/>
        </w:rPr>
        <w:t xml:space="preserve">8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Общеобразовательные школы в МО по состоянию на 01.09.2011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г.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772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043"/>
        <w:gridCol w:w="2152"/>
        <w:gridCol w:w="2152"/>
        <w:gridCol w:w="2425"/>
      </w:tblGrid>
      <w:tr>
        <w:tblPrEx/>
        <w:trPr>
          <w:trHeight w:val="1288"/>
          <w:tblHeader/>
        </w:trPr>
        <w:tc>
          <w:tcPr>
            <w:tcW w:w="3043" w:type="dxa"/>
            <w:textDirection w:val="lrTb"/>
            <w:noWrap w:val="false"/>
          </w:tcPr>
          <w:p>
            <w:pPr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Наименование школы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Мощность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количество ученических мест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Количество учащихся,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человек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Наполняемость школ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(%)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rHeight w:val="260"/>
        </w:trPr>
        <w:tc>
          <w:tcPr>
            <w:gridSpan w:val="4"/>
            <w:tcW w:w="9772" w:type="dxa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Средние общеобразовательные учреждения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</w:tr>
      <w:tr>
        <w:tblPrEx/>
        <w:trPr>
          <w:trHeight w:val="28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СОШ № 1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480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587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122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6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СОШ № 2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500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504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100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6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СОШ № 3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350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299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85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6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СОШ № 4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600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379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63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8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СОШ с. Андреевка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250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81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32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6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СОШ с. Волотово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100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100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100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8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СОШ с. Лозное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150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67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45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6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СОШ с. </w:t>
            </w:r>
            <w:r>
              <w:rPr>
                <w:bCs/>
                <w:sz w:val="22"/>
                <w:szCs w:val="22"/>
              </w:rPr>
              <w:t xml:space="preserve">Малотроицкое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150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84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56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6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СОШ с. Ольшанка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150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162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108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8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СОШ с. Орлик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180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141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78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6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СОШ с. Волково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не типовое здание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93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-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6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СОШ с. Волоконовка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100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78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78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8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СОШ с. </w:t>
            </w:r>
            <w:r>
              <w:rPr>
                <w:bCs/>
                <w:sz w:val="22"/>
                <w:szCs w:val="22"/>
              </w:rPr>
              <w:t xml:space="preserve">Ездочное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250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163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73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6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СОШ с. Кочегуры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не типовое здание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86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-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8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СОШ с. </w:t>
            </w:r>
            <w:r>
              <w:rPr>
                <w:bCs/>
                <w:sz w:val="22"/>
                <w:szCs w:val="22"/>
              </w:rPr>
              <w:t xml:space="preserve">Верхнее </w:t>
            </w:r>
            <w:r>
              <w:rPr>
                <w:bCs/>
                <w:sz w:val="22"/>
                <w:szCs w:val="22"/>
              </w:rPr>
              <w:t xml:space="preserve">Кузькино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не типовое здание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79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-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6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СОШ с. Р - </w:t>
            </w:r>
            <w:r>
              <w:rPr>
                <w:bCs/>
                <w:sz w:val="22"/>
                <w:szCs w:val="22"/>
              </w:rPr>
              <w:t xml:space="preserve">Халань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150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80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53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60"/>
        </w:trPr>
        <w:tc>
          <w:tcPr>
            <w:gridSpan w:val="4"/>
            <w:tcW w:w="9772" w:type="dxa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Основные общеобразовательные учреждения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</w:tr>
      <w:tr>
        <w:tblPrEx/>
        <w:trPr>
          <w:trHeight w:val="28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ООШ с. </w:t>
            </w:r>
            <w:r>
              <w:rPr>
                <w:bCs/>
                <w:sz w:val="22"/>
                <w:szCs w:val="22"/>
              </w:rPr>
              <w:t xml:space="preserve">Новоречье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не типовое здание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40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-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6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ООШ с. Лубяное</w:t>
            </w:r>
            <w:r>
              <w:rPr>
                <w:bCs/>
                <w:sz w:val="22"/>
                <w:szCs w:val="22"/>
              </w:rPr>
              <w:t xml:space="preserve">-Первое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не типовое здание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18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-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6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ООШ с. </w:t>
            </w:r>
            <w:r>
              <w:rPr>
                <w:bCs/>
                <w:sz w:val="22"/>
                <w:szCs w:val="22"/>
              </w:rPr>
              <w:t xml:space="preserve">Ковылено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100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34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34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8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ООШ с. Большое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50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40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44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6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ООШ с. Холки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не типовое здание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15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-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80"/>
        </w:trPr>
        <w:tc>
          <w:tcPr>
            <w:gridSpan w:val="4"/>
            <w:tcW w:w="9772" w:type="dxa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Начальная общеобразовательная школа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</w:tr>
      <w:tr>
        <w:tblPrEx/>
        <w:trPr>
          <w:trHeight w:val="260"/>
        </w:trPr>
        <w:tc>
          <w:tcPr>
            <w:tcW w:w="3043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МОУ НОШ с. Новая </w:t>
            </w:r>
            <w:r>
              <w:rPr>
                <w:bCs/>
                <w:sz w:val="22"/>
                <w:szCs w:val="22"/>
              </w:rPr>
              <w:t xml:space="preserve">Масловка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не типовое здание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152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4</w:t>
            </w:r>
            <w:r>
              <w:rPr>
                <w:bCs/>
              </w:rPr>
            </w:r>
            <w:r>
              <w:rPr>
                <w:bCs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Cs/>
              </w:rPr>
            </w:pPr>
            <w:r>
              <w:rPr>
                <w:bCs/>
              </w:rPr>
              <w:t xml:space="preserve">-</w:t>
            </w:r>
            <w:r>
              <w:rPr>
                <w:bCs/>
              </w:rPr>
            </w:r>
            <w:r>
              <w:rPr>
                <w:bCs/>
              </w:rPr>
            </w:r>
          </w:p>
        </w:tc>
      </w:tr>
      <w:tr>
        <w:tblPrEx/>
        <w:trPr>
          <w:trHeight w:val="240"/>
        </w:trPr>
        <w:tc>
          <w:tcPr>
            <w:tcW w:w="3043" w:type="dxa"/>
            <w:textDirection w:val="lrTb"/>
            <w:noWrap w:val="false"/>
          </w:tcPr>
          <w:p>
            <w:pPr>
              <w:rPr>
                <w:b/>
                <w:highlight w:val="yellow"/>
              </w:rPr>
            </w:pPr>
            <w:r>
              <w:rPr>
                <w:b/>
                <w:sz w:val="22"/>
                <w:szCs w:val="22"/>
              </w:rPr>
              <w:t xml:space="preserve">Итого по МО </w:t>
            </w:r>
            <w:r>
              <w:rPr>
                <w:b/>
                <w:highlight w:val="yellow"/>
              </w:rPr>
            </w:r>
            <w:r>
              <w:rPr>
                <w:b/>
                <w:highlight w:val="yellow"/>
              </w:rPr>
            </w:r>
          </w:p>
        </w:tc>
        <w:tc>
          <w:tcPr>
            <w:shd w:val="clear" w:color="auto" w:fill="auto"/>
            <w:tcW w:w="2152" w:type="dxa"/>
            <w:textDirection w:val="lrTb"/>
            <w:noWrap w:val="false"/>
          </w:tcPr>
          <w:p>
            <w:pPr>
              <w:jc w:val="center"/>
              <w:rPr>
                <w:b/>
                <w:highlight w:val="yellow"/>
              </w:rPr>
            </w:pPr>
            <w:r>
              <w:rPr>
                <w:b/>
                <w:sz w:val="22"/>
                <w:szCs w:val="22"/>
              </w:rPr>
              <w:t xml:space="preserve">3 895</w:t>
            </w:r>
            <w:r>
              <w:rPr>
                <w:b/>
                <w:highlight w:val="yellow"/>
              </w:rPr>
            </w:r>
            <w:r>
              <w:rPr>
                <w:b/>
                <w:highlight w:val="yellow"/>
              </w:rPr>
            </w:r>
          </w:p>
        </w:tc>
        <w:tc>
          <w:tcPr>
            <w:shd w:val="clear" w:color="auto" w:fill="auto"/>
            <w:tcW w:w="2152" w:type="dxa"/>
            <w:textDirection w:val="lrTb"/>
            <w:noWrap w:val="false"/>
          </w:tcPr>
          <w:p>
            <w:pPr>
              <w:jc w:val="center"/>
              <w:rPr>
                <w:b/>
                <w:highlight w:val="yellow"/>
              </w:rPr>
            </w:pPr>
            <w:r>
              <w:rPr>
                <w:b/>
                <w:sz w:val="22"/>
                <w:szCs w:val="22"/>
              </w:rPr>
              <w:t xml:space="preserve">3 134</w:t>
            </w:r>
            <w:r>
              <w:rPr>
                <w:b/>
                <w:highlight w:val="yellow"/>
              </w:rPr>
            </w:r>
            <w:r>
              <w:rPr>
                <w:b/>
                <w:highlight w:val="yellow"/>
              </w:rPr>
            </w:r>
          </w:p>
        </w:tc>
        <w:tc>
          <w:tcPr>
            <w:tcW w:w="242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80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</w:tbl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20"/>
        <w:jc w:val="both"/>
        <w:rPr>
          <w:szCs w:val="28"/>
        </w:rPr>
      </w:pPr>
      <w:r>
        <w:rPr>
          <w:sz w:val="28"/>
          <w:szCs w:val="28"/>
        </w:rPr>
        <w:t xml:space="preserve">По состоянию на 01.01.2012 года функционировало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22 общеобразователь</w:t>
      </w:r>
      <w:r>
        <w:rPr>
          <w:sz w:val="28"/>
          <w:szCs w:val="28"/>
        </w:rPr>
        <w:t xml:space="preserve">ных учреждений</w:t>
      </w:r>
      <w:r>
        <w:rPr>
          <w:sz w:val="28"/>
          <w:szCs w:val="28"/>
        </w:rPr>
        <w:t xml:space="preserve">, в числе которых 16 средних, 5 основных, 1 начальная школа; 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15 дошкольных  учреждений и 9 общеобразовательных учреждений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организованы дошкольные группы, а также  учреждения дополнительного образования. Показатель средней  наполняемости   классов  в поселке составляет 20, что на 0,1% ниже, </w:t>
      </w:r>
      <w:r>
        <w:rPr>
          <w:sz w:val="28"/>
          <w:szCs w:val="28"/>
        </w:rPr>
        <w:t xml:space="preserve">                                                                               </w:t>
      </w:r>
      <w:r>
        <w:rPr>
          <w:sz w:val="28"/>
          <w:szCs w:val="28"/>
        </w:rPr>
        <w:t xml:space="preserve">чем в прошлом году, в </w:t>
      </w:r>
      <w:r>
        <w:rPr>
          <w:sz w:val="28"/>
          <w:szCs w:val="28"/>
        </w:rPr>
        <w:t xml:space="preserve">сельских школах - 8, что на 3,5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 ниже  уровня прошлого года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 муниципальном образовании функционируют 4 базовые опорные школы. Во всех школах организована </w:t>
      </w:r>
      <w:r>
        <w:rPr>
          <w:sz w:val="28"/>
          <w:szCs w:val="28"/>
        </w:rPr>
        <w:t xml:space="preserve">предпрофильная</w:t>
      </w:r>
      <w:r>
        <w:rPr>
          <w:sz w:val="28"/>
          <w:szCs w:val="28"/>
        </w:rPr>
        <w:t xml:space="preserve"> подготовка в 9 классах и профильное обучение на базе 8 школ  с охватом 342 учащихся по следующим направлениям: физико-математический профиль, информационно-технологический, оборонно-спортивный, социально-экономический, социально-гуманитарный, </w:t>
      </w:r>
      <w:r>
        <w:rPr>
          <w:sz w:val="28"/>
          <w:szCs w:val="28"/>
        </w:rPr>
        <w:t xml:space="preserve">агро</w:t>
      </w:r>
      <w:r>
        <w:rPr>
          <w:sz w:val="28"/>
          <w:szCs w:val="28"/>
        </w:rPr>
        <w:t xml:space="preserve">-технологический. На углубленном уровне  </w:t>
      </w:r>
      <w:r>
        <w:rPr>
          <w:sz w:val="28"/>
          <w:szCs w:val="28"/>
        </w:rPr>
        <w:t xml:space="preserve">изуча</w:t>
      </w:r>
      <w:r>
        <w:rPr>
          <w:sz w:val="28"/>
          <w:szCs w:val="28"/>
        </w:rPr>
        <w:t xml:space="preserve">ю</w:t>
      </w:r>
      <w:r>
        <w:rPr>
          <w:sz w:val="28"/>
          <w:szCs w:val="28"/>
        </w:rPr>
        <w:t xml:space="preserve">тся математика в МОУ СОШ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 и английский язык </w:t>
      </w: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в МОУ СОШ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2,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 и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 п. Чернянка.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муниципальном образовании успешно выполняется областная программа «Школьный автобус». Подвоз детей в школы осуществляют 23 школьных автобус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Ежедневный подвоз на автобусах в сельские базовые школы сделал доступным качественное образование для сельских школьников. В 2011 году для перевозки детей были получены автобусы для МОУ «СОШ с.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Орлик», МОУ «СОШ с. </w:t>
      </w:r>
      <w:r>
        <w:rPr>
          <w:sz w:val="28"/>
          <w:szCs w:val="28"/>
        </w:rPr>
        <w:t xml:space="preserve">Ездочное</w:t>
      </w:r>
      <w:r>
        <w:rPr>
          <w:sz w:val="28"/>
          <w:szCs w:val="28"/>
        </w:rPr>
        <w:t xml:space="preserve">», МОУ «ООШ  с. Большое», МОУ «ООШ </w:t>
      </w:r>
      <w:r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с. </w:t>
      </w:r>
      <w:r>
        <w:rPr>
          <w:sz w:val="28"/>
          <w:szCs w:val="28"/>
        </w:rPr>
        <w:t xml:space="preserve">Ковылено</w:t>
      </w:r>
      <w:r>
        <w:rPr>
          <w:sz w:val="28"/>
          <w:szCs w:val="28"/>
        </w:rPr>
        <w:t xml:space="preserve">», на общую сумму 5 092,5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рублей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муниципальном образовании проводится определенная работа по информа</w:t>
      </w:r>
      <w:r>
        <w:rPr>
          <w:sz w:val="28"/>
          <w:szCs w:val="28"/>
        </w:rPr>
        <w:t xml:space="preserve">тизации образования. Компьютерный парк составляет 446 компьютеров, в среднем на один компьютер приходится 7 учащихся. Значительно добавляют материально-техническую базу 1055 проекторов и 23 интерактивных доски. Все школы  подключены к сети Интернет.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всех учреждениях образования организовано двухразовое горячее питание. Реализуются  программы «Школьное молоко» и «Школьный мед».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школах муниципального образования 418 педагогических работников осуществляют образовательный процесс, из них 329 - с  высшим образованием, что составляет 79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; 52  педагогических работника  имеют высшую квалификационную категорию,  171 – первую</w:t>
      </w:r>
      <w:r>
        <w:rPr>
          <w:sz w:val="28"/>
          <w:szCs w:val="28"/>
        </w:rPr>
        <w:t xml:space="preserve"> квалификационную категорию, 28 педагогических работников награждены значками «Отличник народного просвещения», 85 – значками «Почетный работник общего образования», в отрасли  трудятся  7  педагогических работников, носящих звание Заслуженный учитель РФ.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последнее время увеличивается число учителей пенсионного возраста, молодых специалистов очень мало приходит работать в общеобразовательные учреждения.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rFonts w:eastAsia="MS Mincho"/>
          <w:sz w:val="28"/>
          <w:szCs w:val="28"/>
        </w:rPr>
      </w:pPr>
      <w:r>
        <w:rPr>
          <w:sz w:val="28"/>
          <w:szCs w:val="28"/>
        </w:rPr>
        <w:t xml:space="preserve">В рамках целевой про</w:t>
      </w:r>
      <w:r>
        <w:rPr>
          <w:sz w:val="28"/>
          <w:szCs w:val="28"/>
        </w:rPr>
        <w:t xml:space="preserve">граммы «Одаренные дети» активно проводится работа с одаренными детьми, как в области учебных дисциплин, так по различным направлениям внеурочной деятельности. Функционируют 13 классов с углубленным изучением математики, английского языка, в них занимаются </w:t>
      </w:r>
      <w:r>
        <w:rPr>
          <w:sz w:val="28"/>
          <w:szCs w:val="28"/>
        </w:rPr>
        <w:t xml:space="preserve"> 2</w:t>
      </w:r>
      <w:r>
        <w:rPr>
          <w:sz w:val="28"/>
          <w:szCs w:val="28"/>
        </w:rPr>
        <w:t xml:space="preserve">35 учеников. Ежегодно проводятся олимпиады по всем предметам естественно-математического и гуманитарного циклов, физической культуре, краеведению и т.д. </w:t>
      </w:r>
      <w:r>
        <w:rPr>
          <w:rFonts w:eastAsia="MS Mincho"/>
          <w:sz w:val="28"/>
          <w:szCs w:val="28"/>
        </w:rPr>
        <w:t xml:space="preserve">Третий год работает  школа «Созвездие» для учащихся</w:t>
      </w:r>
      <w:r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</w:rPr>
        <w:t xml:space="preserve">9</w:t>
      </w:r>
      <w:r>
        <w:rPr>
          <w:rFonts w:eastAsia="MS Mincho"/>
          <w:sz w:val="28"/>
          <w:szCs w:val="28"/>
        </w:rPr>
        <w:t xml:space="preserve">,</w:t>
      </w:r>
      <w:r>
        <w:rPr>
          <w:rFonts w:eastAsia="MS Mincho"/>
          <w:sz w:val="28"/>
          <w:szCs w:val="28"/>
        </w:rPr>
        <w:t xml:space="preserve">10</w:t>
      </w:r>
      <w:r>
        <w:rPr>
          <w:rFonts w:eastAsia="MS Mincho"/>
          <w:sz w:val="28"/>
          <w:szCs w:val="28"/>
        </w:rPr>
        <w:t xml:space="preserve">,</w:t>
      </w:r>
      <w:r>
        <w:rPr>
          <w:rFonts w:eastAsia="MS Mincho"/>
          <w:sz w:val="28"/>
          <w:szCs w:val="28"/>
        </w:rPr>
        <w:t xml:space="preserve">11 классов, имеющих высокий уровень </w:t>
      </w:r>
      <w:r>
        <w:rPr>
          <w:rFonts w:eastAsia="MS Mincho"/>
          <w:sz w:val="28"/>
          <w:szCs w:val="28"/>
        </w:rPr>
        <w:t xml:space="preserve">обученности</w:t>
      </w:r>
      <w:r>
        <w:rPr>
          <w:rFonts w:eastAsia="MS Mincho"/>
          <w:sz w:val="28"/>
          <w:szCs w:val="28"/>
        </w:rPr>
        <w:t xml:space="preserve"> по математике, физике и химии. </w:t>
      </w:r>
      <w:r>
        <w:rPr>
          <w:rFonts w:eastAsia="MS Mincho"/>
          <w:sz w:val="28"/>
          <w:szCs w:val="28"/>
        </w:rPr>
      </w:r>
      <w:r>
        <w:rPr>
          <w:rFonts w:eastAsia="MS Mincho"/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процессы международного сотрудничества во всех сферах выдвинули в разряд первоочередных задач овладение каждым выпускником школы английским языком на функциональном уровне. Английский язык изучают 2 393 школьника, то есть 85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 Изучение </w:t>
      </w:r>
      <w:r>
        <w:rPr>
          <w:sz w:val="28"/>
          <w:szCs w:val="28"/>
        </w:rPr>
        <w:t xml:space="preserve">английского  языка введено в большинстве дошкольных учреждений.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национального проекта «Образование» с</w:t>
      </w:r>
      <w:r>
        <w:rPr>
          <w:sz w:val="28"/>
          <w:szCs w:val="28"/>
        </w:rPr>
        <w:t xml:space="preserve">овершенствуется материально-техническая база образовательных учреждений. Получено  компьютер</w:t>
      </w:r>
      <w:r>
        <w:rPr>
          <w:sz w:val="28"/>
          <w:szCs w:val="28"/>
        </w:rPr>
        <w:t xml:space="preserve">ное оборудование на общую сумму </w:t>
      </w:r>
      <w:r>
        <w:rPr>
          <w:sz w:val="28"/>
          <w:szCs w:val="28"/>
        </w:rPr>
        <w:t xml:space="preserve">357 </w:t>
      </w:r>
      <w:r>
        <w:rPr>
          <w:sz w:val="28"/>
          <w:szCs w:val="28"/>
        </w:rPr>
        <w:t xml:space="preserve">тыс</w:t>
      </w:r>
      <w:r>
        <w:rPr>
          <w:sz w:val="28"/>
          <w:szCs w:val="28"/>
        </w:rPr>
        <w:t xml:space="preserve">яч рублей, комплекты </w:t>
      </w:r>
      <w:r>
        <w:rPr>
          <w:sz w:val="28"/>
          <w:szCs w:val="28"/>
        </w:rPr>
        <w:t xml:space="preserve">наглядного оборудования для кабинетов на сумму 415 </w:t>
      </w:r>
      <w:r>
        <w:rPr>
          <w:sz w:val="28"/>
          <w:szCs w:val="28"/>
        </w:rPr>
        <w:t xml:space="preserve">тыс</w:t>
      </w:r>
      <w:r>
        <w:rPr>
          <w:sz w:val="28"/>
          <w:szCs w:val="28"/>
        </w:rPr>
        <w:t xml:space="preserve">яч рублей. Капитально отремонтированы МОУ «СОШ 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 п. Чернянка», МОУ «СОШ с. Волотово», детские сады </w:t>
      </w:r>
      <w:r>
        <w:rPr>
          <w:sz w:val="28"/>
          <w:szCs w:val="28"/>
        </w:rPr>
        <w:t xml:space="preserve">с.Захарово</w:t>
      </w:r>
      <w:r>
        <w:rPr>
          <w:sz w:val="28"/>
          <w:szCs w:val="28"/>
        </w:rPr>
        <w:t xml:space="preserve"> и с. Волотово. </w:t>
      </w:r>
      <w:r>
        <w:rPr>
          <w:sz w:val="28"/>
          <w:szCs w:val="28"/>
        </w:rPr>
        <w:t xml:space="preserve">Оплачены проектные работы по ремонту МОУ «СОШ с. Ольшанка» </w:t>
      </w:r>
      <w:r>
        <w:rPr>
          <w:sz w:val="28"/>
          <w:szCs w:val="28"/>
        </w:rPr>
        <w:t xml:space="preserve">- 722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рублей</w:t>
      </w:r>
      <w:r>
        <w:rPr>
          <w:sz w:val="28"/>
          <w:szCs w:val="28"/>
        </w:rPr>
        <w:t xml:space="preserve">. Для ДОУ района приобретено различное оборудование для игровой и развивающей деятельности на сумму 429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рублей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Дополнительное образование школьников осуществляют МОУ ДОД «Дом Пионеров и школьников», МОУ ДОД «Детская юношеская </w:t>
      </w:r>
      <w:r>
        <w:rPr>
          <w:sz w:val="28"/>
          <w:szCs w:val="28"/>
        </w:rPr>
        <w:t xml:space="preserve">спортивная школа», МОУ ДОД «Станция юных натуралистов», а также МОУ ДОД «Дом детского творчества».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19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Охват детей кружковой работой в учреждениях дополнительного образования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900"/>
        <w:jc w:val="center"/>
      </w:pPr>
      <w:r/>
      <w:r/>
    </w:p>
    <w:tbl>
      <w:tblPr>
        <w:tblW w:w="9665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013"/>
        <w:gridCol w:w="1013"/>
        <w:gridCol w:w="1013"/>
        <w:gridCol w:w="1013"/>
        <w:gridCol w:w="1013"/>
        <w:gridCol w:w="1013"/>
        <w:gridCol w:w="1587"/>
      </w:tblGrid>
      <w:tr>
        <w:tblPrEx/>
        <w:trPr>
          <w:trHeight w:val="824"/>
          <w:tblHeader/>
        </w:trPr>
        <w:tc>
          <w:tcPr>
            <w:tcW w:w="3013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Показатели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013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2007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013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2008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013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2009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013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2010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013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2011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58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Темп роста 2011 к 2007,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rHeight w:val="543"/>
        </w:trPr>
        <w:tc>
          <w:tcPr>
            <w:tcW w:w="3013" w:type="dxa"/>
            <w:textDirection w:val="lrTb"/>
            <w:noWrap w:val="false"/>
          </w:tcPr>
          <w:p>
            <w:pPr>
              <w:jc w:val="both"/>
            </w:pPr>
            <w:r>
              <w:t xml:space="preserve">МОУ ДОД «Дом </w:t>
            </w:r>
            <w:r/>
          </w:p>
          <w:p>
            <w:pPr>
              <w:jc w:val="both"/>
            </w:pPr>
            <w:r>
              <w:t xml:space="preserve">п</w:t>
            </w:r>
            <w:r>
              <w:t xml:space="preserve">ионеров и школьников»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1 718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1 558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1 200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1 526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1441</w:t>
            </w:r>
            <w:r/>
          </w:p>
        </w:tc>
        <w:tc>
          <w:tcPr>
            <w:tcW w:w="158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83,9</w:t>
            </w:r>
            <w:r/>
          </w:p>
        </w:tc>
      </w:tr>
      <w:tr>
        <w:tblPrEx/>
        <w:trPr>
          <w:trHeight w:val="824"/>
        </w:trPr>
        <w:tc>
          <w:tcPr>
            <w:tcW w:w="3013" w:type="dxa"/>
            <w:textDirection w:val="lrTb"/>
            <w:noWrap w:val="false"/>
          </w:tcPr>
          <w:p>
            <w:pPr>
              <w:jc w:val="both"/>
            </w:pPr>
            <w:r>
              <w:t xml:space="preserve">МОУ ДОД «Детская</w:t>
            </w:r>
            <w:r/>
          </w:p>
          <w:p>
            <w:pPr>
              <w:jc w:val="both"/>
            </w:pPr>
            <w:r>
              <w:t xml:space="preserve"> юношеская спортивная школа»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889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865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850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870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871</w:t>
            </w:r>
            <w:r/>
          </w:p>
        </w:tc>
        <w:tc>
          <w:tcPr>
            <w:tcW w:w="158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98,0</w:t>
            </w:r>
            <w:r/>
          </w:p>
        </w:tc>
      </w:tr>
      <w:tr>
        <w:tblPrEx/>
        <w:trPr>
          <w:trHeight w:val="543"/>
        </w:trPr>
        <w:tc>
          <w:tcPr>
            <w:tcW w:w="3013" w:type="dxa"/>
            <w:textDirection w:val="lrTb"/>
            <w:noWrap w:val="false"/>
          </w:tcPr>
          <w:p>
            <w:pPr>
              <w:jc w:val="both"/>
            </w:pPr>
            <w:r>
              <w:t xml:space="preserve">МОУ ДОД «Станция</w:t>
            </w:r>
            <w:r/>
          </w:p>
          <w:p>
            <w:pPr>
              <w:jc w:val="both"/>
            </w:pPr>
            <w:r>
              <w:t xml:space="preserve"> юных натуралистов»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550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558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500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445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1065</w:t>
            </w:r>
            <w:r/>
          </w:p>
        </w:tc>
        <w:tc>
          <w:tcPr>
            <w:tcW w:w="158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в 1,9 раза</w:t>
            </w:r>
            <w:r/>
          </w:p>
        </w:tc>
      </w:tr>
      <w:tr>
        <w:tblPrEx/>
        <w:trPr>
          <w:trHeight w:val="543"/>
        </w:trPr>
        <w:tc>
          <w:tcPr>
            <w:tcW w:w="3013" w:type="dxa"/>
            <w:textDirection w:val="lrTb"/>
            <w:noWrap w:val="false"/>
          </w:tcPr>
          <w:p>
            <w:pPr>
              <w:jc w:val="both"/>
            </w:pPr>
            <w:r>
              <w:t xml:space="preserve">МОУ ДОД «Дом детского</w:t>
            </w:r>
            <w:r/>
          </w:p>
          <w:p>
            <w:pPr>
              <w:jc w:val="both"/>
            </w:pPr>
            <w:r>
              <w:t xml:space="preserve"> творчества»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84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88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198</w:t>
            </w:r>
            <w:r/>
          </w:p>
        </w:tc>
        <w:tc>
          <w:tcPr>
            <w:tcW w:w="158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</w:tr>
      <w:tr>
        <w:tblPrEx/>
        <w:trPr>
          <w:trHeight w:val="844"/>
        </w:trPr>
        <w:tc>
          <w:tcPr>
            <w:tcW w:w="3013" w:type="dxa"/>
            <w:textDirection w:val="lrTb"/>
            <w:noWrap w:val="false"/>
          </w:tcPr>
          <w:p>
            <w:pPr>
              <w:jc w:val="both"/>
            </w:pPr>
            <w:r>
              <w:t xml:space="preserve">Охват детей</w:t>
            </w:r>
            <w:r/>
          </w:p>
          <w:p>
            <w:pPr>
              <w:jc w:val="both"/>
            </w:pPr>
            <w:r>
              <w:t xml:space="preserve"> дополнительным образованием по району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3 167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2 981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2 634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2 929</w:t>
            </w:r>
            <w:r/>
          </w:p>
        </w:tc>
        <w:tc>
          <w:tcPr>
            <w:tcW w:w="101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3575</w:t>
            </w:r>
            <w:r/>
          </w:p>
        </w:tc>
        <w:tc>
          <w:tcPr>
            <w:tcW w:w="158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112,9</w:t>
            </w:r>
            <w:r/>
          </w:p>
        </w:tc>
      </w:tr>
    </w:tbl>
    <w:p>
      <w:pPr>
        <w:ind w:firstLine="900"/>
        <w:jc w:val="both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  <w:r>
        <w:rPr>
          <w:color w:val="ff0000"/>
        </w:rPr>
      </w:r>
    </w:p>
    <w:p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</w:t>
      </w:r>
      <w:r>
        <w:rPr>
          <w:sz w:val="28"/>
          <w:szCs w:val="28"/>
        </w:rPr>
        <w:t xml:space="preserve">ние осуществляется по художественно-эстетическому, туристско-краеведческому, экологическому, декоративно-прикладному, информационно-технологическому направлениям. Дети занимаются волейболом, гимнастикой, баскетболом, легкой  атлетикой, футболом, плаванием.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освоения рабочих профессий на территории района функционируют 5 ресурсных центров профессионального образования, на базе которых                     462 учащихся 10-11 классов обучаются профессии водителя категори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«В» и «С», в двух школах  получают  профессию штукатура  и каменщика. 179 старшеклассников осваивают две профессии.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20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Распределение выпускников 9-х классов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0" w:type="auto"/>
        <w:jc w:val="center"/>
        <w:tblInd w:w="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328"/>
        <w:gridCol w:w="1701"/>
        <w:gridCol w:w="1145"/>
        <w:gridCol w:w="1658"/>
        <w:gridCol w:w="2353"/>
        <w:gridCol w:w="1323"/>
      </w:tblGrid>
      <w:tr>
        <w:tblPrEx/>
        <w:trPr>
          <w:jc w:val="center"/>
          <w:trHeight w:val="290"/>
        </w:trPr>
        <w:tc>
          <w:tcPr>
            <w:tcW w:w="1390" w:type="dxa"/>
            <w:vMerge w:val="restart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 выпуска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701" w:type="dxa"/>
            <w:vMerge w:val="restart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Численность выпускников 9-х классов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4"/>
            <w:tcW w:w="6662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jc w:val="center"/>
          <w:trHeight w:val="149"/>
        </w:trPr>
        <w:tc>
          <w:tcPr>
            <w:tcW w:w="1390" w:type="dxa"/>
            <w:vMerge w:val="continue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701" w:type="dxa"/>
            <w:vMerge w:val="continue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263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10 класс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658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Средние специальные </w:t>
            </w:r>
            <w:r>
              <w:rPr>
                <w:b/>
              </w:rPr>
              <w:t xml:space="preserve">учебные заведения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353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Профессиональные училища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388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Выбыли за </w:t>
            </w:r>
            <w:r>
              <w:rPr>
                <w:b/>
              </w:rPr>
              <w:t xml:space="preserve">пределы области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jc w:val="center"/>
          <w:trHeight w:val="269"/>
        </w:trPr>
        <w:tc>
          <w:tcPr>
            <w:tcW w:w="1390" w:type="dxa"/>
            <w:textDirection w:val="lrTb"/>
            <w:noWrap w:val="false"/>
          </w:tcPr>
          <w:p>
            <w:pPr>
              <w:jc w:val="center"/>
            </w:pPr>
            <w:r>
              <w:t xml:space="preserve">2007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</w:pPr>
            <w:r>
              <w:t xml:space="preserve">357</w:t>
            </w:r>
            <w:r/>
          </w:p>
        </w:tc>
        <w:tc>
          <w:tcPr>
            <w:tcW w:w="1263" w:type="dxa"/>
            <w:textDirection w:val="lrTb"/>
            <w:noWrap w:val="false"/>
          </w:tcPr>
          <w:p>
            <w:pPr>
              <w:jc w:val="center"/>
            </w:pPr>
            <w:r>
              <w:t xml:space="preserve">48</w:t>
            </w:r>
            <w:r/>
          </w:p>
        </w:tc>
        <w:tc>
          <w:tcPr>
            <w:tcW w:w="1658" w:type="dxa"/>
            <w:textDirection w:val="lrTb"/>
            <w:noWrap w:val="false"/>
          </w:tcPr>
          <w:p>
            <w:pPr>
              <w:jc w:val="center"/>
            </w:pPr>
            <w:r>
              <w:t xml:space="preserve">29</w:t>
            </w:r>
            <w:r/>
          </w:p>
        </w:tc>
        <w:tc>
          <w:tcPr>
            <w:tcW w:w="2353" w:type="dxa"/>
            <w:textDirection w:val="lrTb"/>
            <w:noWrap w:val="false"/>
          </w:tcPr>
          <w:p>
            <w:pPr>
              <w:jc w:val="center"/>
            </w:pPr>
            <w:r>
              <w:t xml:space="preserve">21</w:t>
            </w:r>
            <w:r/>
          </w:p>
        </w:tc>
        <w:tc>
          <w:tcPr>
            <w:tcW w:w="1388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</w:tr>
      <w:tr>
        <w:tblPrEx/>
        <w:trPr>
          <w:jc w:val="center"/>
          <w:trHeight w:val="290"/>
        </w:trPr>
        <w:tc>
          <w:tcPr>
            <w:tcW w:w="1390" w:type="dxa"/>
            <w:textDirection w:val="lrTb"/>
            <w:noWrap w:val="false"/>
          </w:tcPr>
          <w:p>
            <w:pPr>
              <w:jc w:val="center"/>
            </w:pPr>
            <w:r>
              <w:t xml:space="preserve">2008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</w:pPr>
            <w:r>
              <w:t xml:space="preserve">398</w:t>
            </w:r>
            <w:r/>
          </w:p>
        </w:tc>
        <w:tc>
          <w:tcPr>
            <w:tcW w:w="1263" w:type="dxa"/>
            <w:textDirection w:val="lrTb"/>
            <w:noWrap w:val="false"/>
          </w:tcPr>
          <w:p>
            <w:pPr>
              <w:jc w:val="center"/>
            </w:pPr>
            <w:r>
              <w:t xml:space="preserve">62</w:t>
            </w:r>
            <w:r/>
          </w:p>
        </w:tc>
        <w:tc>
          <w:tcPr>
            <w:tcW w:w="1658" w:type="dxa"/>
            <w:textDirection w:val="lrTb"/>
            <w:noWrap w:val="false"/>
          </w:tcPr>
          <w:p>
            <w:pPr>
              <w:jc w:val="center"/>
            </w:pPr>
            <w:r>
              <w:t xml:space="preserve">20</w:t>
            </w:r>
            <w:r/>
          </w:p>
        </w:tc>
        <w:tc>
          <w:tcPr>
            <w:tcW w:w="2353" w:type="dxa"/>
            <w:textDirection w:val="lrTb"/>
            <w:noWrap w:val="false"/>
          </w:tcPr>
          <w:p>
            <w:pPr>
              <w:jc w:val="center"/>
            </w:pPr>
            <w:r>
              <w:t xml:space="preserve">18</w:t>
            </w:r>
            <w:r/>
          </w:p>
        </w:tc>
        <w:tc>
          <w:tcPr>
            <w:tcW w:w="1388" w:type="dxa"/>
            <w:textDirection w:val="lrTb"/>
            <w:noWrap w:val="false"/>
          </w:tcPr>
          <w:p>
            <w:pPr>
              <w:jc w:val="center"/>
            </w:pPr>
            <w:r>
              <w:t xml:space="preserve">0</w:t>
            </w:r>
            <w:r/>
          </w:p>
        </w:tc>
      </w:tr>
      <w:tr>
        <w:tblPrEx/>
        <w:trPr>
          <w:jc w:val="center"/>
          <w:trHeight w:val="290"/>
        </w:trPr>
        <w:tc>
          <w:tcPr>
            <w:tcW w:w="1390" w:type="dxa"/>
            <w:textDirection w:val="lrTb"/>
            <w:noWrap w:val="false"/>
          </w:tcPr>
          <w:p>
            <w:pPr>
              <w:jc w:val="center"/>
            </w:pPr>
            <w:r>
              <w:t xml:space="preserve">2009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</w:pPr>
            <w:r>
              <w:t xml:space="preserve">415</w:t>
            </w:r>
            <w:r/>
          </w:p>
        </w:tc>
        <w:tc>
          <w:tcPr>
            <w:tcW w:w="1263" w:type="dxa"/>
            <w:textDirection w:val="lrTb"/>
            <w:noWrap w:val="false"/>
          </w:tcPr>
          <w:p>
            <w:pPr>
              <w:jc w:val="center"/>
            </w:pPr>
            <w:r>
              <w:t xml:space="preserve">65</w:t>
            </w:r>
            <w:r/>
          </w:p>
        </w:tc>
        <w:tc>
          <w:tcPr>
            <w:tcW w:w="1658" w:type="dxa"/>
            <w:textDirection w:val="lrTb"/>
            <w:noWrap w:val="false"/>
          </w:tcPr>
          <w:p>
            <w:pPr>
              <w:jc w:val="center"/>
            </w:pPr>
            <w:r>
              <w:t xml:space="preserve">18</w:t>
            </w:r>
            <w:r/>
          </w:p>
        </w:tc>
        <w:tc>
          <w:tcPr>
            <w:tcW w:w="2353" w:type="dxa"/>
            <w:textDirection w:val="lrTb"/>
            <w:noWrap w:val="false"/>
          </w:tcPr>
          <w:p>
            <w:pPr>
              <w:jc w:val="center"/>
            </w:pPr>
            <w:r>
              <w:t xml:space="preserve">16</w:t>
            </w:r>
            <w:r/>
          </w:p>
        </w:tc>
        <w:tc>
          <w:tcPr>
            <w:tcW w:w="1388" w:type="dxa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</w:tr>
      <w:tr>
        <w:tblPrEx/>
        <w:trPr>
          <w:jc w:val="center"/>
          <w:trHeight w:val="290"/>
        </w:trPr>
        <w:tc>
          <w:tcPr>
            <w:tcW w:w="1390" w:type="dxa"/>
            <w:textDirection w:val="lrTb"/>
            <w:noWrap w:val="false"/>
          </w:tcPr>
          <w:p>
            <w:pPr>
              <w:jc w:val="center"/>
            </w:pPr>
            <w:r>
              <w:t xml:space="preserve">2010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</w:pPr>
            <w:r>
              <w:t xml:space="preserve">374</w:t>
            </w:r>
            <w:r/>
          </w:p>
        </w:tc>
        <w:tc>
          <w:tcPr>
            <w:tcW w:w="1263" w:type="dxa"/>
            <w:textDirection w:val="lrTb"/>
            <w:noWrap w:val="false"/>
          </w:tcPr>
          <w:p>
            <w:pPr>
              <w:jc w:val="center"/>
            </w:pPr>
            <w:r>
              <w:t xml:space="preserve">63</w:t>
            </w:r>
            <w:r/>
          </w:p>
        </w:tc>
        <w:tc>
          <w:tcPr>
            <w:tcW w:w="1658" w:type="dxa"/>
            <w:textDirection w:val="lrTb"/>
            <w:noWrap w:val="false"/>
          </w:tcPr>
          <w:p>
            <w:pPr>
              <w:jc w:val="center"/>
            </w:pPr>
            <w:r>
              <w:t xml:space="preserve">16</w:t>
            </w:r>
            <w:r/>
          </w:p>
        </w:tc>
        <w:tc>
          <w:tcPr>
            <w:tcW w:w="2353" w:type="dxa"/>
            <w:textDirection w:val="lrTb"/>
            <w:noWrap w:val="false"/>
          </w:tcPr>
          <w:p>
            <w:pPr>
              <w:jc w:val="center"/>
            </w:pPr>
            <w:r>
              <w:t xml:space="preserve">19</w:t>
            </w:r>
            <w:r/>
          </w:p>
        </w:tc>
        <w:tc>
          <w:tcPr>
            <w:tcW w:w="1388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</w:tr>
      <w:tr>
        <w:tblPrEx/>
        <w:trPr>
          <w:jc w:val="center"/>
          <w:trHeight w:val="290"/>
        </w:trPr>
        <w:tc>
          <w:tcPr>
            <w:tcW w:w="1390" w:type="dxa"/>
            <w:textDirection w:val="lrTb"/>
            <w:noWrap w:val="false"/>
          </w:tcPr>
          <w:p>
            <w:pPr>
              <w:jc w:val="center"/>
            </w:pPr>
            <w:r>
              <w:t xml:space="preserve">2011</w:t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</w:pPr>
            <w:r>
              <w:t xml:space="preserve">358</w:t>
            </w:r>
            <w:r/>
          </w:p>
        </w:tc>
        <w:tc>
          <w:tcPr>
            <w:tcW w:w="1263" w:type="dxa"/>
            <w:textDirection w:val="lrTb"/>
            <w:noWrap w:val="false"/>
          </w:tcPr>
          <w:p>
            <w:pPr>
              <w:jc w:val="center"/>
            </w:pPr>
            <w:r>
              <w:t xml:space="preserve">64</w:t>
            </w:r>
            <w:r/>
          </w:p>
        </w:tc>
        <w:tc>
          <w:tcPr>
            <w:tcW w:w="1658" w:type="dxa"/>
            <w:textDirection w:val="lrTb"/>
            <w:noWrap w:val="false"/>
          </w:tcPr>
          <w:p>
            <w:pPr>
              <w:jc w:val="center"/>
            </w:pPr>
            <w:r>
              <w:t xml:space="preserve">20</w:t>
            </w:r>
            <w:r/>
          </w:p>
        </w:tc>
        <w:tc>
          <w:tcPr>
            <w:tcW w:w="2353" w:type="dxa"/>
            <w:textDirection w:val="lrTb"/>
            <w:noWrap w:val="false"/>
          </w:tcPr>
          <w:p>
            <w:pPr>
              <w:jc w:val="center"/>
            </w:pPr>
            <w:r>
              <w:t xml:space="preserve">15</w:t>
            </w:r>
            <w:r/>
          </w:p>
        </w:tc>
        <w:tc>
          <w:tcPr>
            <w:tcW w:w="1388" w:type="dxa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</w:tr>
    </w:tbl>
    <w:p>
      <w:pPr>
        <w:ind w:firstLine="900"/>
        <w:jc w:val="both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  <w:r>
        <w:rPr>
          <w:color w:val="ff0000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Численность выпускников 9-х классов за исследуемый период увеличилась на 0,3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процента</w:t>
      </w:r>
      <w:r>
        <w:rPr>
          <w:sz w:val="28"/>
          <w:szCs w:val="28"/>
        </w:rPr>
        <w:t xml:space="preserve">. Среди девятиклассников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средние специальные учебные заведения и профессиональные училища в 2011 году  поступили 35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, тогда как в 2007 году – 50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процентов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</w:t>
      </w:r>
      <w:r>
        <w:rPr>
          <w:i/>
          <w:sz w:val="28"/>
          <w:szCs w:val="28"/>
        </w:rPr>
        <w:t xml:space="preserve">2</w:t>
      </w:r>
      <w:r>
        <w:rPr>
          <w:i/>
          <w:sz w:val="28"/>
          <w:szCs w:val="28"/>
        </w:rPr>
        <w:t xml:space="preserve">1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ind w:firstLine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Распределение выпускников 11-х классов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900"/>
        <w:jc w:val="both"/>
      </w:pPr>
      <w:r/>
      <w:r/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1234"/>
        <w:gridCol w:w="1701"/>
        <w:gridCol w:w="1339"/>
        <w:gridCol w:w="1658"/>
        <w:gridCol w:w="2353"/>
        <w:gridCol w:w="1286"/>
      </w:tblGrid>
      <w:tr>
        <w:tblPrEx/>
        <w:trPr>
          <w:jc w:val="center"/>
          <w:trHeight w:val="278"/>
          <w:tblHeader/>
        </w:trPr>
        <w:tc>
          <w:tcPr>
            <w:tcW w:w="1292" w:type="dxa"/>
            <w:vMerge w:val="restart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 выпуска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666" w:type="dxa"/>
            <w:vMerge w:val="restart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Численность выпускников 11-х классов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4"/>
            <w:tcW w:w="6627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Распределение выпускников,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jc w:val="center"/>
          <w:trHeight w:val="155"/>
          <w:tblHeader/>
        </w:trPr>
        <w:tc>
          <w:tcPr>
            <w:tcW w:w="1292" w:type="dxa"/>
            <w:vMerge w:val="continue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666" w:type="dxa"/>
            <w:vMerge w:val="continue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367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Высшие учебные заведения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624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Средние специальные учебные заведения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30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Профессиональные училища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331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Призыв в армию, работа, другие причины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jc w:val="center"/>
          <w:trHeight w:val="278"/>
        </w:trPr>
        <w:tc>
          <w:tcPr>
            <w:tcW w:w="1292" w:type="dxa"/>
            <w:textDirection w:val="lrTb"/>
            <w:noWrap w:val="false"/>
          </w:tcPr>
          <w:p>
            <w:pPr>
              <w:jc w:val="center"/>
            </w:pPr>
            <w:r>
              <w:t xml:space="preserve">2007</w:t>
            </w:r>
            <w:r/>
          </w:p>
        </w:tc>
        <w:tc>
          <w:tcPr>
            <w:tcW w:w="1666" w:type="dxa"/>
            <w:textDirection w:val="lrTb"/>
            <w:noWrap w:val="false"/>
          </w:tcPr>
          <w:p>
            <w:pPr>
              <w:jc w:val="center"/>
            </w:pPr>
            <w:r>
              <w:t xml:space="preserve">300</w:t>
            </w:r>
            <w:r/>
          </w:p>
        </w:tc>
        <w:tc>
          <w:tcPr>
            <w:tcW w:w="1367" w:type="dxa"/>
            <w:textDirection w:val="lrTb"/>
            <w:noWrap w:val="false"/>
          </w:tcPr>
          <w:p>
            <w:pPr>
              <w:jc w:val="center"/>
            </w:pPr>
            <w:r>
              <w:t xml:space="preserve">67</w:t>
            </w:r>
            <w:r/>
          </w:p>
        </w:tc>
        <w:tc>
          <w:tcPr>
            <w:tcW w:w="1624" w:type="dxa"/>
            <w:textDirection w:val="lrTb"/>
            <w:noWrap w:val="false"/>
          </w:tcPr>
          <w:p>
            <w:pPr>
              <w:jc w:val="center"/>
            </w:pPr>
            <w:r>
              <w:t xml:space="preserve">19</w:t>
            </w:r>
            <w:r/>
          </w:p>
        </w:tc>
        <w:tc>
          <w:tcPr>
            <w:tcW w:w="2305" w:type="dxa"/>
            <w:textDirection w:val="lrTb"/>
            <w:noWrap w:val="false"/>
          </w:tcPr>
          <w:p>
            <w:pPr>
              <w:jc w:val="center"/>
            </w:pPr>
            <w:r>
              <w:t xml:space="preserve">11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</w:tr>
      <w:tr>
        <w:tblPrEx/>
        <w:trPr>
          <w:jc w:val="center"/>
          <w:trHeight w:val="278"/>
        </w:trPr>
        <w:tc>
          <w:tcPr>
            <w:tcW w:w="1292" w:type="dxa"/>
            <w:textDirection w:val="lrTb"/>
            <w:noWrap w:val="false"/>
          </w:tcPr>
          <w:p>
            <w:pPr>
              <w:jc w:val="center"/>
            </w:pPr>
            <w:r>
              <w:t xml:space="preserve">2008</w:t>
            </w:r>
            <w:r/>
          </w:p>
        </w:tc>
        <w:tc>
          <w:tcPr>
            <w:tcW w:w="1666" w:type="dxa"/>
            <w:textDirection w:val="lrTb"/>
            <w:noWrap w:val="false"/>
          </w:tcPr>
          <w:p>
            <w:pPr>
              <w:jc w:val="center"/>
            </w:pPr>
            <w:r>
              <w:t xml:space="preserve">265</w:t>
            </w:r>
            <w:r/>
          </w:p>
        </w:tc>
        <w:tc>
          <w:tcPr>
            <w:tcW w:w="1367" w:type="dxa"/>
            <w:textDirection w:val="lrTb"/>
            <w:noWrap w:val="false"/>
          </w:tcPr>
          <w:p>
            <w:pPr>
              <w:jc w:val="center"/>
            </w:pPr>
            <w:r>
              <w:t xml:space="preserve">70</w:t>
            </w:r>
            <w:r/>
          </w:p>
        </w:tc>
        <w:tc>
          <w:tcPr>
            <w:tcW w:w="1624" w:type="dxa"/>
            <w:textDirection w:val="lrTb"/>
            <w:noWrap w:val="false"/>
          </w:tcPr>
          <w:p>
            <w:pPr>
              <w:jc w:val="center"/>
            </w:pPr>
            <w:r>
              <w:t xml:space="preserve">23</w:t>
            </w:r>
            <w:r/>
          </w:p>
        </w:tc>
        <w:tc>
          <w:tcPr>
            <w:tcW w:w="2305" w:type="dxa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292" w:type="dxa"/>
            <w:textDirection w:val="lrTb"/>
            <w:noWrap w:val="false"/>
          </w:tcPr>
          <w:p>
            <w:pPr>
              <w:jc w:val="center"/>
            </w:pPr>
            <w:r>
              <w:t xml:space="preserve">2009</w:t>
            </w:r>
            <w:r/>
          </w:p>
        </w:tc>
        <w:tc>
          <w:tcPr>
            <w:tcW w:w="1666" w:type="dxa"/>
            <w:textDirection w:val="lrTb"/>
            <w:noWrap w:val="false"/>
          </w:tcPr>
          <w:p>
            <w:pPr>
              <w:jc w:val="center"/>
            </w:pPr>
            <w:r>
              <w:t xml:space="preserve">178</w:t>
            </w:r>
            <w:r/>
          </w:p>
        </w:tc>
        <w:tc>
          <w:tcPr>
            <w:tcW w:w="1367" w:type="dxa"/>
            <w:textDirection w:val="lrTb"/>
            <w:noWrap w:val="false"/>
          </w:tcPr>
          <w:p>
            <w:pPr>
              <w:jc w:val="center"/>
            </w:pPr>
            <w:r>
              <w:t xml:space="preserve">74</w:t>
            </w:r>
            <w:r/>
          </w:p>
        </w:tc>
        <w:tc>
          <w:tcPr>
            <w:tcW w:w="1624" w:type="dxa"/>
            <w:textDirection w:val="lrTb"/>
            <w:noWrap w:val="false"/>
          </w:tcPr>
          <w:p>
            <w:pPr>
              <w:jc w:val="center"/>
            </w:pPr>
            <w:r>
              <w:t xml:space="preserve">15</w:t>
            </w:r>
            <w:r/>
          </w:p>
        </w:tc>
        <w:tc>
          <w:tcPr>
            <w:tcW w:w="2305" w:type="dxa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292" w:type="dxa"/>
            <w:textDirection w:val="lrTb"/>
            <w:noWrap w:val="false"/>
          </w:tcPr>
          <w:p>
            <w:pPr>
              <w:jc w:val="center"/>
            </w:pPr>
            <w:r>
              <w:t xml:space="preserve">2010</w:t>
            </w:r>
            <w:r/>
          </w:p>
        </w:tc>
        <w:tc>
          <w:tcPr>
            <w:tcW w:w="1666" w:type="dxa"/>
            <w:textDirection w:val="lrTb"/>
            <w:noWrap w:val="false"/>
          </w:tcPr>
          <w:p>
            <w:pPr>
              <w:jc w:val="center"/>
            </w:pPr>
            <w:r>
              <w:t xml:space="preserve">239</w:t>
            </w:r>
            <w:r/>
          </w:p>
        </w:tc>
        <w:tc>
          <w:tcPr>
            <w:tcW w:w="1367" w:type="dxa"/>
            <w:textDirection w:val="lrTb"/>
            <w:noWrap w:val="false"/>
          </w:tcPr>
          <w:p>
            <w:pPr>
              <w:jc w:val="center"/>
            </w:pPr>
            <w:r>
              <w:t xml:space="preserve">71</w:t>
            </w:r>
            <w:r/>
          </w:p>
        </w:tc>
        <w:tc>
          <w:tcPr>
            <w:tcW w:w="1624" w:type="dxa"/>
            <w:textDirection w:val="lrTb"/>
            <w:noWrap w:val="false"/>
          </w:tcPr>
          <w:p>
            <w:pPr>
              <w:jc w:val="center"/>
            </w:pPr>
            <w:r>
              <w:t xml:space="preserve">14</w:t>
            </w:r>
            <w:r/>
          </w:p>
        </w:tc>
        <w:tc>
          <w:tcPr>
            <w:tcW w:w="2305" w:type="dxa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jc w:val="center"/>
            </w:pPr>
            <w:r>
              <w:t xml:space="preserve">10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292" w:type="dxa"/>
            <w:textDirection w:val="lrTb"/>
            <w:noWrap w:val="false"/>
          </w:tcPr>
          <w:p>
            <w:pPr>
              <w:jc w:val="center"/>
            </w:pPr>
            <w:r>
              <w:t xml:space="preserve">2011</w:t>
            </w:r>
            <w:r/>
          </w:p>
        </w:tc>
        <w:tc>
          <w:tcPr>
            <w:tcW w:w="1666" w:type="dxa"/>
            <w:textDirection w:val="lrTb"/>
            <w:noWrap w:val="false"/>
          </w:tcPr>
          <w:p>
            <w:pPr>
              <w:jc w:val="center"/>
            </w:pPr>
            <w:r>
              <w:t xml:space="preserve">263</w:t>
            </w:r>
            <w:r/>
          </w:p>
        </w:tc>
        <w:tc>
          <w:tcPr>
            <w:tcW w:w="1367" w:type="dxa"/>
            <w:textDirection w:val="lrTb"/>
            <w:noWrap w:val="false"/>
          </w:tcPr>
          <w:p>
            <w:pPr>
              <w:jc w:val="center"/>
            </w:pPr>
            <w:r>
              <w:t xml:space="preserve">75</w:t>
            </w:r>
            <w:r/>
          </w:p>
        </w:tc>
        <w:tc>
          <w:tcPr>
            <w:tcW w:w="1624" w:type="dxa"/>
            <w:textDirection w:val="lrTb"/>
            <w:noWrap w:val="false"/>
          </w:tcPr>
          <w:p>
            <w:pPr>
              <w:jc w:val="center"/>
            </w:pPr>
            <w:r>
              <w:t xml:space="preserve">12</w:t>
            </w:r>
            <w:r/>
          </w:p>
        </w:tc>
        <w:tc>
          <w:tcPr>
            <w:tcW w:w="2305" w:type="dxa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tcW w:w="1331" w:type="dxa"/>
            <w:textDirection w:val="lrTb"/>
            <w:noWrap w:val="false"/>
          </w:tcPr>
          <w:p>
            <w:pPr>
              <w:jc w:val="center"/>
            </w:pPr>
            <w:r>
              <w:t xml:space="preserve">10</w:t>
            </w:r>
            <w:r/>
          </w:p>
        </w:tc>
      </w:tr>
    </w:tbl>
    <w:p>
      <w:pPr>
        <w:ind w:firstLine="900"/>
        <w:jc w:val="both"/>
      </w:pPr>
      <w:r/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Численность выпускников 11 классов в 2011 году меньше, чем в                2007 году на 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процентов</w:t>
      </w:r>
      <w:r>
        <w:rPr>
          <w:sz w:val="28"/>
          <w:szCs w:val="28"/>
        </w:rPr>
        <w:t xml:space="preserve">. Доля поступивших в учебные заведения увеличилась с 67% - в 2007 году до 75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 - в 2011 году. В 2011 году 12%  выпускников  поступили в средние специальные учебные заведения, тогда как в 2007 году этот показатель составлял 19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процентов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1.2.9</w:t>
      </w:r>
      <w:r>
        <w:rPr>
          <w:b/>
          <w:color w:val="000000"/>
          <w:sz w:val="28"/>
          <w:szCs w:val="28"/>
        </w:rPr>
        <w:t xml:space="preserve">. Культура, физкультура и спорт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Муниципальное образование, как и весь Белгородский край, славен богатыми певческими, музыкальными, народными т</w:t>
      </w:r>
      <w:r>
        <w:rPr>
          <w:color w:val="000000"/>
          <w:sz w:val="28"/>
          <w:szCs w:val="28"/>
        </w:rPr>
        <w:t xml:space="preserve">радициями, прекрасными художественными изделиями народных мастеров. Преемственность культурных традиций, эффективное использование культурного наследия является приоритетным направлением в деятельности администрации района, работников культуры и искусства.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both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Администрацией разрабатываются и реализуются мероприятия по развитию и сохранению культуры и искусства, развитию физической кул</w:t>
      </w:r>
      <w:r>
        <w:rPr>
          <w:color w:val="000000"/>
          <w:sz w:val="28"/>
          <w:szCs w:val="28"/>
        </w:rPr>
        <w:t xml:space="preserve">ьтуры и спорта, укреплению материально-технической базы, кадровому потенциалу, оказанию просветительских, досуговых и других услуг населению, развитию новых форм и методов организации услуг, направленных на укрепление здоровья населения, проведению </w:t>
      </w:r>
      <w:r>
        <w:rPr>
          <w:color w:val="000000"/>
          <w:sz w:val="28"/>
          <w:szCs w:val="28"/>
        </w:rPr>
        <w:t xml:space="preserve">различных культурных и спортивных мероприятий, развитию музейного дела, созданию модельных учреждений культуры, привлечению населения к массовым занятиям спортом и другие.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47"/>
        <w:rPr>
          <w:color w:val="000000"/>
          <w:szCs w:val="28"/>
        </w:rPr>
      </w:pPr>
      <w:r>
        <w:rPr>
          <w:color w:val="000000"/>
          <w:szCs w:val="28"/>
        </w:rPr>
        <w:t xml:space="preserve">В настоящее время культурные услуги населению </w:t>
      </w:r>
      <w:r>
        <w:rPr>
          <w:color w:val="000000"/>
          <w:szCs w:val="28"/>
        </w:rPr>
        <w:t xml:space="preserve"> оказывают              36 клубных учреждений, 24 библиотеки, 3 детских школ</w:t>
      </w:r>
      <w:r>
        <w:rPr>
          <w:color w:val="000000"/>
          <w:szCs w:val="28"/>
        </w:rPr>
        <w:t xml:space="preserve">ы</w:t>
      </w:r>
      <w:r>
        <w:rPr>
          <w:color w:val="000000"/>
          <w:szCs w:val="28"/>
        </w:rPr>
        <w:t xml:space="preserve"> искусств, 5 филиалов ДСШ, Дом народного творчества, 2 музея (Чернянский краеведческий и </w:t>
      </w:r>
      <w:r>
        <w:rPr>
          <w:color w:val="000000"/>
          <w:szCs w:val="28"/>
        </w:rPr>
        <w:t xml:space="preserve">Холковский</w:t>
      </w:r>
      <w:r>
        <w:rPr>
          <w:color w:val="000000"/>
          <w:szCs w:val="28"/>
        </w:rPr>
        <w:t xml:space="preserve"> Свято-Троицкий монастырь), кинотеатр, 13 сельских киноустановок, </w:t>
      </w:r>
      <w:r>
        <w:rPr>
          <w:color w:val="000000"/>
          <w:szCs w:val="28"/>
        </w:rPr>
        <w:t xml:space="preserve">п</w:t>
      </w:r>
      <w:r>
        <w:rPr>
          <w:color w:val="000000"/>
          <w:szCs w:val="28"/>
        </w:rPr>
        <w:t xml:space="preserve">арк культуры и отдыха.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Сельские библиотеки являются неотъемлемой частью сельских поселений, являются важнейшим источником информации и знаний для жителей села. </w:t>
      </w:r>
      <w:r>
        <w:rPr>
          <w:color w:val="000000"/>
          <w:sz w:val="28"/>
          <w:szCs w:val="28"/>
        </w:rPr>
        <w:t xml:space="preserve">Постоянными читателями библиотек  являются около 22,6 </w:t>
      </w:r>
      <w:r>
        <w:rPr>
          <w:color w:val="000000"/>
          <w:sz w:val="28"/>
          <w:szCs w:val="28"/>
        </w:rPr>
        <w:t xml:space="preserve">тыс</w:t>
      </w:r>
      <w:r>
        <w:rPr>
          <w:color w:val="000000"/>
          <w:sz w:val="28"/>
          <w:szCs w:val="28"/>
        </w:rPr>
        <w:t xml:space="preserve">яч жителей. Услугами центра правовой информации, созданного при районной библиотеке, ежегодно пользуются более 505 человек.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both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Остается устойчивой тенденция развития любительского художественного творчества.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домах культуры и </w:t>
      </w:r>
      <w:r>
        <w:rPr>
          <w:sz w:val="28"/>
          <w:szCs w:val="28"/>
        </w:rPr>
        <w:t xml:space="preserve">клубах действуют 350 клубных формирований, в которых занимаются 6 401 человека.  Пятнадцати творческим коллективам присвоено почетное звание «Народный</w:t>
      </w:r>
      <w:r>
        <w:rPr>
          <w:color w:val="000000"/>
          <w:sz w:val="28"/>
          <w:szCs w:val="28"/>
        </w:rPr>
        <w:t xml:space="preserve">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22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показатели, характеризующие сферу </w:t>
      </w:r>
      <w:r>
        <w:rPr>
          <w:b/>
          <w:sz w:val="28"/>
          <w:szCs w:val="28"/>
        </w:rPr>
        <w:t xml:space="preserve">культуры в МО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7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143"/>
        <w:gridCol w:w="1093"/>
        <w:gridCol w:w="756"/>
        <w:gridCol w:w="757"/>
        <w:gridCol w:w="756"/>
        <w:gridCol w:w="757"/>
        <w:gridCol w:w="1517"/>
      </w:tblGrid>
      <w:tr>
        <w:tblPrEx/>
        <w:trPr>
          <w:trHeight w:val="824"/>
          <w:tblHeader/>
        </w:trPr>
        <w:tc>
          <w:tcPr>
            <w:tcW w:w="4143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Показатели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093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2007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2008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57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2009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5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2010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57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2011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Темп роста 2011 к 2007,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rHeight w:val="288"/>
        </w:trPr>
        <w:tc>
          <w:tcPr>
            <w:tcW w:w="4143" w:type="dxa"/>
            <w:textDirection w:val="lrTb"/>
            <w:noWrap w:val="false"/>
          </w:tcPr>
          <w:p>
            <w:r>
              <w:t xml:space="preserve">Число общедоступных библиотек (ед.)</w:t>
            </w:r>
            <w:r/>
          </w:p>
        </w:tc>
        <w:tc>
          <w:tcPr>
            <w:tcW w:w="109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24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24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24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24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24</w:t>
            </w:r>
            <w:r/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100,0</w:t>
            </w:r>
            <w:r/>
          </w:p>
        </w:tc>
      </w:tr>
      <w:tr>
        <w:tblPrEx/>
        <w:trPr>
          <w:trHeight w:val="557"/>
        </w:trPr>
        <w:tc>
          <w:tcPr>
            <w:tcW w:w="4143" w:type="dxa"/>
            <w:textDirection w:val="lrTb"/>
            <w:noWrap w:val="false"/>
          </w:tcPr>
          <w:p>
            <w:r>
              <w:t xml:space="preserve">Обновляемость</w:t>
            </w:r>
            <w:r>
              <w:t xml:space="preserve"> библиотечных фондов общедоступных библиотек (</w:t>
            </w:r>
            <w:r>
              <w:t xml:space="preserve">тыс.</w:t>
            </w:r>
            <w:r>
              <w:t xml:space="preserve"> экз.)</w:t>
            </w:r>
            <w:r/>
          </w:p>
        </w:tc>
        <w:tc>
          <w:tcPr>
            <w:tcW w:w="109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8,2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12,3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10,2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8,4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8,8</w:t>
            </w:r>
            <w:r/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107,3</w:t>
            </w:r>
            <w:r/>
          </w:p>
        </w:tc>
      </w:tr>
      <w:tr>
        <w:tblPrEx/>
        <w:trPr>
          <w:trHeight w:val="557"/>
        </w:trPr>
        <w:tc>
          <w:tcPr>
            <w:tcW w:w="4143" w:type="dxa"/>
            <w:textDirection w:val="lrTb"/>
            <w:noWrap w:val="false"/>
          </w:tcPr>
          <w:p>
            <w:pPr>
              <w:pStyle w:val="1034"/>
              <w:tabs>
                <w:tab w:val="clear" w:pos="4677" w:leader="none"/>
                <w:tab w:val="clear" w:pos="9355" w:leader="none"/>
              </w:tabs>
            </w:pPr>
            <w:r>
              <w:t xml:space="preserve">Охват населения библиотечными услугами (%)</w:t>
            </w:r>
            <w:r/>
          </w:p>
        </w:tc>
        <w:tc>
          <w:tcPr>
            <w:tcW w:w="109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66,9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68,4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68,8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69,2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69,4</w:t>
            </w:r>
            <w:r/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103,7</w:t>
            </w:r>
            <w:r/>
          </w:p>
        </w:tc>
      </w:tr>
      <w:tr>
        <w:tblPrEx/>
        <w:trPr>
          <w:trHeight w:val="288"/>
        </w:trPr>
        <w:tc>
          <w:tcPr>
            <w:tcW w:w="4143" w:type="dxa"/>
            <w:textDirection w:val="lrTb"/>
            <w:noWrap w:val="false"/>
          </w:tcPr>
          <w:p>
            <w:r>
              <w:t xml:space="preserve">Число музеев (ед.)</w:t>
            </w:r>
            <w:r/>
          </w:p>
        </w:tc>
        <w:tc>
          <w:tcPr>
            <w:tcW w:w="109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100,0</w:t>
            </w:r>
            <w:r/>
          </w:p>
        </w:tc>
      </w:tr>
      <w:tr>
        <w:tblPrEx/>
        <w:trPr>
          <w:trHeight w:val="557"/>
        </w:trPr>
        <w:tc>
          <w:tcPr>
            <w:tcW w:w="4143" w:type="dxa"/>
            <w:textDirection w:val="lrTb"/>
            <w:noWrap w:val="false"/>
          </w:tcPr>
          <w:p>
            <w:r>
              <w:t xml:space="preserve">Число посещений музеев (</w:t>
            </w:r>
            <w:r>
              <w:t xml:space="preserve">тыс.</w:t>
            </w:r>
            <w:r>
              <w:t xml:space="preserve"> посещений)</w:t>
            </w:r>
            <w:r/>
          </w:p>
        </w:tc>
        <w:tc>
          <w:tcPr>
            <w:tcW w:w="109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26,5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27,5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37,7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39,8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39,9</w:t>
            </w:r>
            <w:r/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150,6</w:t>
            </w:r>
            <w:r/>
          </w:p>
        </w:tc>
      </w:tr>
      <w:tr>
        <w:tblPrEx/>
        <w:trPr>
          <w:trHeight w:val="557"/>
        </w:trPr>
        <w:tc>
          <w:tcPr>
            <w:tcW w:w="4143" w:type="dxa"/>
            <w:textDirection w:val="lrTb"/>
            <w:noWrap w:val="false"/>
          </w:tcPr>
          <w:p>
            <w:r>
              <w:t xml:space="preserve">Число учреждений культурно-досугового типа (ед.)</w:t>
            </w:r>
            <w:r/>
          </w:p>
        </w:tc>
        <w:tc>
          <w:tcPr>
            <w:tcW w:w="109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40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40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39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39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36</w:t>
            </w:r>
            <w:r/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90,0</w:t>
            </w:r>
            <w:r/>
          </w:p>
        </w:tc>
      </w:tr>
      <w:tr>
        <w:tblPrEx/>
        <w:trPr>
          <w:trHeight w:val="557"/>
        </w:trPr>
        <w:tc>
          <w:tcPr>
            <w:tcW w:w="4143" w:type="dxa"/>
            <w:textDirection w:val="lrTb"/>
            <w:noWrap w:val="false"/>
          </w:tcPr>
          <w:p>
            <w:r>
              <w:t xml:space="preserve">Число посадочных мест в учреждениях культурно-досугового типа (ед.)</w:t>
            </w:r>
            <w:r/>
          </w:p>
        </w:tc>
        <w:tc>
          <w:tcPr>
            <w:tcW w:w="109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8 985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7 185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6 715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6 355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5 830</w:t>
            </w:r>
            <w:r/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64,9</w:t>
            </w:r>
            <w:r/>
          </w:p>
        </w:tc>
      </w:tr>
      <w:tr>
        <w:tblPrEx/>
        <w:trPr>
          <w:trHeight w:val="557"/>
        </w:trPr>
        <w:tc>
          <w:tcPr>
            <w:tcW w:w="4143" w:type="dxa"/>
            <w:textDirection w:val="lrTb"/>
            <w:noWrap w:val="false"/>
          </w:tcPr>
          <w:p>
            <w:r>
              <w:t xml:space="preserve">Число культурно-досуговых мероприятий (ед.)</w:t>
            </w:r>
            <w:r/>
          </w:p>
        </w:tc>
        <w:tc>
          <w:tcPr>
            <w:tcW w:w="109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5 500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7 578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7 603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7 863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8 476</w:t>
            </w:r>
            <w:r/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154,1</w:t>
            </w:r>
            <w:r/>
          </w:p>
        </w:tc>
      </w:tr>
      <w:tr>
        <w:tblPrEx/>
        <w:trPr>
          <w:trHeight w:val="288"/>
        </w:trPr>
        <w:tc>
          <w:tcPr>
            <w:tcW w:w="4143" w:type="dxa"/>
            <w:textDirection w:val="lrTb"/>
            <w:noWrap w:val="false"/>
          </w:tcPr>
          <w:p>
            <w:r>
              <w:t xml:space="preserve">Число киноустановок (ед.)</w:t>
            </w:r>
            <w:r/>
          </w:p>
        </w:tc>
        <w:tc>
          <w:tcPr>
            <w:tcW w:w="109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>
              <w:t xml:space="preserve">5</w:t>
            </w:r>
            <w:r/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108,3</w:t>
            </w:r>
            <w:r/>
          </w:p>
        </w:tc>
      </w:tr>
      <w:tr>
        <w:tblPrEx/>
        <w:trPr>
          <w:trHeight w:val="268"/>
        </w:trPr>
        <w:tc>
          <w:tcPr>
            <w:tcW w:w="4143" w:type="dxa"/>
            <w:textDirection w:val="lrTb"/>
            <w:noWrap w:val="false"/>
          </w:tcPr>
          <w:p>
            <w:r>
              <w:t xml:space="preserve">Число посещений киносеансов (</w:t>
            </w:r>
            <w:r>
              <w:t xml:space="preserve">тыс.</w:t>
            </w:r>
            <w:r>
              <w:t xml:space="preserve"> чел.)</w:t>
            </w:r>
            <w:r/>
          </w:p>
        </w:tc>
        <w:tc>
          <w:tcPr>
            <w:tcW w:w="109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18,9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19,2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22,9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39,0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89,0</w:t>
            </w:r>
            <w:r/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в 4,7 раза</w:t>
            </w:r>
            <w:r/>
          </w:p>
        </w:tc>
      </w:tr>
      <w:tr>
        <w:tblPrEx/>
        <w:trPr>
          <w:trHeight w:val="578"/>
        </w:trPr>
        <w:tc>
          <w:tcPr>
            <w:tcW w:w="4143" w:type="dxa"/>
            <w:textDirection w:val="lrTb"/>
            <w:noWrap w:val="false"/>
          </w:tcPr>
          <w:p>
            <w:r>
              <w:t xml:space="preserve">Количество детей, обучающихся в детских школах искусств (чел.) </w:t>
            </w:r>
            <w:r/>
          </w:p>
        </w:tc>
        <w:tc>
          <w:tcPr>
            <w:tcW w:w="109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696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701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728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751</w:t>
            </w:r>
            <w:r/>
          </w:p>
        </w:tc>
        <w:tc>
          <w:tcPr>
            <w:tcW w:w="75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789</w:t>
            </w:r>
            <w:r/>
          </w:p>
        </w:tc>
        <w:tc>
          <w:tcPr>
            <w:tcW w:w="15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113,4</w:t>
            </w:r>
            <w:r/>
          </w:p>
        </w:tc>
      </w:tr>
    </w:tbl>
    <w:p>
      <w:pPr>
        <w:pStyle w:val="1045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2011 году по сравнению с 2007 годом на 64,5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процента</w:t>
      </w:r>
      <w:r>
        <w:rPr>
          <w:color w:val="000000"/>
          <w:sz w:val="28"/>
          <w:szCs w:val="28"/>
        </w:rPr>
        <w:t xml:space="preserve"> возросло количество лиц, посещающих музеи. Увеличился охват населения библиотечными услугами на 3,7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процент</w:t>
      </w:r>
      <w:r>
        <w:rPr>
          <w:color w:val="000000"/>
          <w:sz w:val="28"/>
          <w:szCs w:val="28"/>
        </w:rPr>
        <w:t xml:space="preserve">ных пункта,  выросло число культурно-досуговых мероприятий на 54,1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процента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Созданы и успешно функционируют 7 духовно-просветительских центров, 1 культурно-образовательны</w:t>
      </w:r>
      <w:r>
        <w:rPr>
          <w:color w:val="000000"/>
          <w:sz w:val="28"/>
          <w:szCs w:val="28"/>
        </w:rPr>
        <w:t xml:space="preserve">й</w:t>
      </w:r>
      <w:r>
        <w:rPr>
          <w:color w:val="000000"/>
          <w:sz w:val="28"/>
          <w:szCs w:val="28"/>
        </w:rPr>
        <w:t xml:space="preserve"> центр.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учреждениях культуры и искусства работают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300 специалист</w:t>
      </w:r>
      <w:r>
        <w:rPr>
          <w:color w:val="000000"/>
          <w:sz w:val="28"/>
          <w:szCs w:val="28"/>
        </w:rPr>
        <w:t xml:space="preserve">ов</w:t>
      </w:r>
      <w:r>
        <w:rPr>
          <w:color w:val="000000"/>
          <w:sz w:val="28"/>
          <w:szCs w:val="28"/>
        </w:rPr>
        <w:t xml:space="preserve">, из них высшее и среднее образование имеют 236 человек, что составляет 78,7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процентов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2</w:t>
      </w:r>
      <w:r>
        <w:rPr>
          <w:i/>
          <w:color w:val="000000"/>
          <w:sz w:val="28"/>
          <w:szCs w:val="28"/>
        </w:rPr>
        <w:t xml:space="preserve">3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Оздоровительные, санаторно-курортные, спортивные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учреждения в МО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08"/>
        <w:jc w:val="center"/>
        <w:rPr>
          <w:b/>
          <w:color w:val="ff0000"/>
        </w:rPr>
      </w:pPr>
      <w:r>
        <w:rPr>
          <w:b/>
          <w:color w:val="ff0000"/>
        </w:rPr>
        <w:tab/>
      </w:r>
      <w:r>
        <w:rPr>
          <w:b/>
          <w:color w:val="ff0000"/>
        </w:rPr>
      </w:r>
      <w:r>
        <w:rPr>
          <w:b/>
          <w:color w:val="ff0000"/>
        </w:rPr>
      </w:r>
    </w:p>
    <w:tbl>
      <w:tblPr>
        <w:tblW w:w="968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915"/>
        <w:gridCol w:w="866"/>
        <w:gridCol w:w="866"/>
        <w:gridCol w:w="866"/>
        <w:gridCol w:w="866"/>
        <w:gridCol w:w="866"/>
        <w:gridCol w:w="1441"/>
      </w:tblGrid>
      <w:tr>
        <w:tblPrEx/>
        <w:trPr>
          <w:trHeight w:val="822"/>
          <w:tblHeader/>
        </w:trPr>
        <w:tc>
          <w:tcPr>
            <w:tcW w:w="3915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Показатели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6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2007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6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2008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6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2009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6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2010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6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2011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Темп роста 2011 к 2007,</w:t>
            </w:r>
            <w:r>
              <w:rPr>
                <w:b/>
                <w:color w:val="000000"/>
              </w:rPr>
              <w:t xml:space="preserve">%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576"/>
        </w:trPr>
        <w:tc>
          <w:tcPr>
            <w:tcW w:w="3915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Число детских оздоровительных учреждений (ед.)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55"/>
        </w:trPr>
        <w:tc>
          <w:tcPr>
            <w:tcW w:w="3915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Численность детей, отдохнувших в них за лето (чел.)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  <w:t xml:space="preserve">9,0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1418"/>
        </w:trPr>
        <w:tc>
          <w:tcPr>
            <w:tcW w:w="3915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Численность детей, отдохнувших в детских оздоровительных центрах, организованных на базе общеобразовательных школ (человек)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3 212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3 275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2 689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3 498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3501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109</w:t>
            </w:r>
            <w:r>
              <w:rPr>
                <w:color w:val="000000"/>
              </w:rPr>
              <w:t xml:space="preserve">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68"/>
        </w:trPr>
        <w:tc>
          <w:tcPr>
            <w:tcW w:w="3915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Число спортивных сооружений  (ед.)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142</w:t>
            </w:r>
            <w:r>
              <w:rPr>
                <w:color w:val="000000"/>
                <w:lang w:val="en-US"/>
              </w:rPr>
            </w:r>
            <w:r>
              <w:rPr>
                <w:color w:val="000000"/>
                <w:lang w:val="en-US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102,2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68"/>
        </w:trPr>
        <w:tc>
          <w:tcPr>
            <w:tcW w:w="3915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том числе: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</w:r>
            <w:r>
              <w:rPr>
                <w:color w:val="ff0000"/>
              </w:rPr>
            </w:r>
            <w:r>
              <w:rPr>
                <w:color w:val="ff0000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</w:r>
            <w:r>
              <w:rPr>
                <w:color w:val="ff0000"/>
              </w:rPr>
            </w:r>
            <w:r>
              <w:rPr>
                <w:color w:val="ff0000"/>
              </w:rPr>
            </w:r>
          </w:p>
        </w:tc>
      </w:tr>
      <w:tr>
        <w:tblPrEx/>
        <w:trPr>
          <w:trHeight w:val="268"/>
        </w:trPr>
        <w:tc>
          <w:tcPr>
            <w:tcW w:w="3915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стадионы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</w:t>
            </w:r>
            <w:r>
              <w:rPr>
                <w:color w:val="000000"/>
              </w:rPr>
              <w:t xml:space="preserve">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88"/>
        </w:trPr>
        <w:tc>
          <w:tcPr>
            <w:tcW w:w="3915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спортивные залы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bottom w:val="single" w:color="auto" w:sz="4" w:space="0"/>
            </w:tcBorders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bottom w:val="single" w:color="auto" w:sz="4" w:space="0"/>
            </w:tcBorders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bottom w:val="single" w:color="auto" w:sz="4" w:space="0"/>
            </w:tcBorders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bottom w:val="single" w:color="auto" w:sz="4" w:space="0"/>
            </w:tcBorders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bottom w:val="single" w:color="auto" w:sz="4" w:space="0"/>
            </w:tcBorders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Borders>
              <w:bottom w:val="single" w:color="auto" w:sz="4" w:space="0"/>
            </w:tcBorders>
            <w:tcW w:w="144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</w:t>
            </w:r>
            <w:r>
              <w:rPr>
                <w:color w:val="000000"/>
              </w:rPr>
              <w:t xml:space="preserve">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68"/>
        </w:trPr>
        <w:tc>
          <w:tcPr>
            <w:tcW w:w="3915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плавательные бассейны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144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114,3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842"/>
        </w:trPr>
        <w:tc>
          <w:tcPr>
            <w:tcW w:w="3915" w:type="dxa"/>
            <w:textDirection w:val="lrTb"/>
            <w:noWrap w:val="false"/>
          </w:tcPr>
          <w:p>
            <w:pPr>
              <w:pStyle w:val="1034"/>
              <w:jc w:val="both"/>
              <w:tabs>
                <w:tab w:val="clear" w:pos="4677" w:leader="none"/>
                <w:tab w:val="clear" w:pos="9355" w:leader="none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Доля населения, регулярно занимающегося физкультурой и спортом (%)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19</w:t>
            </w:r>
            <w:r>
              <w:rPr>
                <w:color w:val="000000"/>
              </w:rPr>
              <w:t xml:space="preserve">,</w:t>
            </w:r>
            <w:r>
              <w:rPr>
                <w:color w:val="000000"/>
                <w:lang w:val="en-US"/>
              </w:rPr>
              <w:t xml:space="preserve">3</w:t>
            </w:r>
            <w:r>
              <w:rPr>
                <w:color w:val="000000"/>
                <w:lang w:val="en-US"/>
              </w:rPr>
            </w:r>
            <w:r>
              <w:rPr>
                <w:color w:val="000000"/>
                <w:lang w:val="en-US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19,3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127,0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1130"/>
        </w:trPr>
        <w:tc>
          <w:tcPr>
            <w:tcW w:w="3915" w:type="dxa"/>
            <w:textDirection w:val="lrTb"/>
            <w:noWrap w:val="false"/>
          </w:tcPr>
          <w:p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Справочно</w:t>
            </w:r>
            <w:r>
              <w:rPr>
                <w:i/>
                <w:color w:val="000000"/>
              </w:rPr>
              <w:t xml:space="preserve">: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  <w:p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Доля населения, регулярно занимающегося физкультурой и спортом по области (%)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32,0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20,7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21,0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21,3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22</w:t>
            </w:r>
            <w:r>
              <w:rPr>
                <w:i/>
                <w:color w:val="000000"/>
              </w:rPr>
              <w:t xml:space="preserve">,0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68,8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</w:tr>
      <w:tr>
        <w:tblPrEx/>
        <w:trPr>
          <w:trHeight w:val="1130"/>
        </w:trPr>
        <w:tc>
          <w:tcPr>
            <w:tcW w:w="3915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Коэффициент сравнения доли населения, регулярно занимающегося физкультурой и спортом по области (МО/область)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</w:t>
            </w: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</w:t>
            </w:r>
            <w:r>
              <w:rPr>
                <w:color w:val="000000"/>
              </w:rPr>
              <w:t xml:space="preserve">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x</w:t>
            </w:r>
            <w:r>
              <w:rPr>
                <w:color w:val="000000"/>
                <w:lang w:val="en-US"/>
              </w:rPr>
            </w:r>
            <w:r>
              <w:rPr>
                <w:color w:val="000000"/>
                <w:lang w:val="en-US"/>
              </w:rPr>
            </w:r>
          </w:p>
        </w:tc>
      </w:tr>
    </w:tbl>
    <w:p>
      <w:pPr>
        <w:ind w:firstLine="708"/>
        <w:jc w:val="both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  <w:r>
        <w:rPr>
          <w:color w:val="ff0000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летний период оздоровление детей проводится в детском оздоровительном лагере «Орбита», материально-техническая база которого постоянно обновляется.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Число отдохнувших детей </w:t>
      </w:r>
      <w:r>
        <w:rPr>
          <w:color w:val="000000"/>
          <w:sz w:val="28"/>
          <w:szCs w:val="28"/>
        </w:rPr>
        <w:t xml:space="preserve">в 2011 году составило 200.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Традиционным для всех учреждений культурно-досугового типа стало проводить престольные праздники, </w:t>
      </w:r>
      <w:r>
        <w:rPr>
          <w:color w:val="000000"/>
          <w:sz w:val="28"/>
          <w:szCs w:val="28"/>
        </w:rPr>
        <w:t xml:space="preserve">имянаречения</w:t>
      </w:r>
      <w:r>
        <w:rPr>
          <w:color w:val="000000"/>
          <w:sz w:val="28"/>
          <w:szCs w:val="28"/>
        </w:rPr>
        <w:t xml:space="preserve">, конкурсы, концерты, </w:t>
      </w:r>
      <w:r>
        <w:rPr>
          <w:color w:val="000000"/>
          <w:sz w:val="28"/>
          <w:szCs w:val="28"/>
        </w:rPr>
        <w:t xml:space="preserve">творческие акции, тематические вечера, заседания клубов по интересам и кружков художественной самодеятельности, Масленицу, культурно-</w:t>
      </w:r>
      <w:r>
        <w:rPr>
          <w:color w:val="000000"/>
          <w:sz w:val="28"/>
          <w:szCs w:val="28"/>
        </w:rPr>
        <w:t xml:space="preserve">спортивные</w:t>
      </w:r>
      <w:r>
        <w:rPr>
          <w:color w:val="000000"/>
          <w:sz w:val="28"/>
          <w:szCs w:val="28"/>
        </w:rPr>
        <w:t xml:space="preserve"> эстафеты между организациями, а так же поселениями района и другие праздники и мероприятия согласно календарю знаменательных и памятных дат.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Большое внимание уделяется здоровью и физическому воспитанию населения, проводится работа по организации и проведению физкультурно-массовых мероприятий, таких как первенства и турниры по различным видам спорта, спартакиады, туристические слеты. </w:t>
      </w:r>
      <w:r>
        <w:rPr>
          <w:color w:val="000000"/>
          <w:sz w:val="28"/>
          <w:szCs w:val="28"/>
        </w:rPr>
        <w:t xml:space="preserve">Спортсмены в период с января по декабрь 2011 года приняли </w:t>
      </w:r>
      <w:r>
        <w:rPr>
          <w:color w:val="000000"/>
          <w:sz w:val="28"/>
          <w:szCs w:val="28"/>
        </w:rPr>
        <w:t xml:space="preserve">участие</w:t>
      </w:r>
      <w:r>
        <w:rPr>
          <w:color w:val="000000"/>
          <w:sz w:val="28"/>
          <w:szCs w:val="28"/>
        </w:rPr>
        <w:t xml:space="preserve">в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150 </w:t>
      </w:r>
      <w:r>
        <w:rPr>
          <w:color w:val="000000"/>
          <w:sz w:val="28"/>
          <w:szCs w:val="28"/>
        </w:rPr>
        <w:t xml:space="preserve">спортивных мероприятиях, </w:t>
      </w:r>
      <w:r>
        <w:rPr>
          <w:color w:val="000000"/>
          <w:sz w:val="28"/>
          <w:szCs w:val="28"/>
        </w:rPr>
        <w:t xml:space="preserve">в том числе</w:t>
      </w:r>
      <w:r>
        <w:rPr>
          <w:color w:val="000000"/>
          <w:sz w:val="28"/>
          <w:szCs w:val="28"/>
        </w:rPr>
        <w:t xml:space="preserve"> осуществлялся выезд для принятия участия  в 60 областных мероприятиях спортивного характера</w:t>
      </w:r>
      <w:r>
        <w:rPr>
          <w:color w:val="000000"/>
          <w:sz w:val="28"/>
          <w:szCs w:val="28"/>
        </w:rPr>
        <w:t xml:space="preserve">, посвященные годовщине освобождения п. Чернянка от немецко-фашистских захватчиков, проводам зимы, Дню поселка, а также соревнования по боксу, лыжным гонкам, волейболу, мини-футболу, футболу, вольной борьбе, </w:t>
      </w:r>
      <w:r>
        <w:rPr>
          <w:color w:val="000000"/>
          <w:sz w:val="28"/>
          <w:szCs w:val="28"/>
        </w:rPr>
        <w:t xml:space="preserve">полиатлону</w:t>
      </w:r>
      <w:r>
        <w:rPr>
          <w:color w:val="000000"/>
          <w:sz w:val="28"/>
          <w:szCs w:val="28"/>
        </w:rPr>
        <w:t xml:space="preserve">, шахматам, пулевой стрельбе, легкой атлетике, легкоатлетическому кроссу, «семейные состязания».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проведения областного благотворительного марафона «Спортивный двор» за 2011 год было собрано 842,1 </w:t>
      </w:r>
      <w:r>
        <w:rPr>
          <w:color w:val="000000"/>
          <w:sz w:val="28"/>
          <w:szCs w:val="28"/>
        </w:rPr>
        <w:t xml:space="preserve">тыс</w:t>
      </w:r>
      <w:r>
        <w:rPr>
          <w:color w:val="000000"/>
          <w:sz w:val="28"/>
          <w:szCs w:val="28"/>
        </w:rPr>
        <w:t xml:space="preserve">яч рублей.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Сеть спортивных сооружений района представлена 1 стадионом с трибунами, физкультурно-оздоровительным комплексом,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89 плоскостными спортивными сооружениями, 15 тирами, 24 спортивными залами, 8 плавательными бассейнами,</w:t>
      </w:r>
      <w:r>
        <w:rPr>
          <w:color w:val="000000"/>
          <w:sz w:val="28"/>
          <w:szCs w:val="28"/>
        </w:rPr>
        <w:t xml:space="preserve"> в том числе в 2010 году открылся и в настоящее время </w:t>
      </w:r>
      <w:r>
        <w:rPr>
          <w:color w:val="000000"/>
          <w:sz w:val="28"/>
          <w:szCs w:val="28"/>
        </w:rPr>
        <w:t xml:space="preserve"> работает спортивно-оздоровительный</w:t>
      </w:r>
      <w:r>
        <w:rPr>
          <w:color w:val="000000"/>
          <w:sz w:val="28"/>
          <w:szCs w:val="28"/>
        </w:rPr>
        <w:t xml:space="preserve"> плавательный бассейн «Дельфин».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Развива</w:t>
      </w:r>
      <w:r>
        <w:rPr>
          <w:color w:val="000000"/>
          <w:sz w:val="28"/>
          <w:szCs w:val="28"/>
        </w:rPr>
        <w:t xml:space="preserve">ю</w:t>
      </w:r>
      <w:r>
        <w:rPr>
          <w:color w:val="000000"/>
          <w:sz w:val="28"/>
          <w:szCs w:val="28"/>
        </w:rPr>
        <w:t xml:space="preserve">тся 23 вид</w:t>
      </w:r>
      <w:r>
        <w:rPr>
          <w:color w:val="000000"/>
          <w:sz w:val="28"/>
          <w:szCs w:val="28"/>
        </w:rPr>
        <w:t xml:space="preserve">а</w:t>
      </w:r>
      <w:r>
        <w:rPr>
          <w:color w:val="000000"/>
          <w:sz w:val="28"/>
          <w:szCs w:val="28"/>
        </w:rPr>
        <w:t xml:space="preserve"> спорта. Работает 2 спортивно-технических кружка: мотокросс, радиопеленгация. Подготовлено 861 спортсмена массовых </w:t>
      </w:r>
      <w:r>
        <w:rPr>
          <w:color w:val="000000"/>
          <w:sz w:val="28"/>
          <w:szCs w:val="28"/>
        </w:rPr>
        <w:t xml:space="preserve">разрядов. </w:t>
      </w:r>
      <w:r>
        <w:rPr>
          <w:color w:val="000000"/>
          <w:sz w:val="28"/>
          <w:szCs w:val="28"/>
        </w:rPr>
        <w:t xml:space="preserve">Основными</w:t>
      </w:r>
      <w:r>
        <w:rPr>
          <w:color w:val="000000"/>
          <w:sz w:val="28"/>
          <w:szCs w:val="28"/>
        </w:rPr>
        <w:t xml:space="preserve"> видами спорта являются: футбол, баскетбол, волейбол, легкая атлетика, пулевая стрельба, шахматы.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2011 году по </w:t>
      </w:r>
      <w:r>
        <w:rPr>
          <w:sz w:val="28"/>
          <w:szCs w:val="28"/>
        </w:rPr>
        <w:t xml:space="preserve">сравнению с 2007 годом </w:t>
      </w:r>
      <w:r>
        <w:rPr>
          <w:sz w:val="28"/>
          <w:szCs w:val="28"/>
        </w:rPr>
        <w:t xml:space="preserve">доля</w:t>
      </w:r>
      <w:r>
        <w:rPr>
          <w:sz w:val="28"/>
          <w:szCs w:val="28"/>
        </w:rPr>
        <w:t xml:space="preserve"> населения, регулярно занимающегося физкультурой и спортом</w:t>
      </w:r>
      <w:r>
        <w:rPr>
          <w:sz w:val="28"/>
          <w:szCs w:val="28"/>
        </w:rPr>
        <w:t xml:space="preserve">, увеличилась в 1,3 раза и составила</w:t>
      </w:r>
      <w:r>
        <w:rPr>
          <w:sz w:val="28"/>
          <w:szCs w:val="28"/>
        </w:rPr>
        <w:t xml:space="preserve"> 19,3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что</w:t>
      </w:r>
      <w:r>
        <w:rPr>
          <w:sz w:val="28"/>
          <w:szCs w:val="28"/>
        </w:rPr>
        <w:t xml:space="preserve"> ниже доли населения, регулярно занимающегося физкультурой и спортом по области, которая в 2011 году составила 22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 (коэффициент сравнения – 0,9).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1.2.10</w:t>
      </w:r>
      <w:r>
        <w:rPr>
          <w:b/>
          <w:color w:val="000000"/>
          <w:sz w:val="28"/>
          <w:szCs w:val="28"/>
        </w:rPr>
        <w:t xml:space="preserve">. Информационные ресурсы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08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Телекоммуникационное пространство обеспечивается линейно-техническим участком ПГТ Чернянка Белгородского филиала ОАО «</w:t>
      </w:r>
      <w:r>
        <w:rPr>
          <w:color w:val="000000"/>
          <w:sz w:val="28"/>
          <w:szCs w:val="28"/>
        </w:rPr>
        <w:t xml:space="preserve">РосТелеком</w:t>
      </w:r>
      <w:r>
        <w:rPr>
          <w:color w:val="000000"/>
          <w:sz w:val="28"/>
          <w:szCs w:val="28"/>
        </w:rPr>
        <w:t xml:space="preserve">» и операторами сотовой связи. В поселке Чернянка расположены отделения телеграфа и телефона.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Почтовые услуги обеспечиваются ОПС Чернянка </w:t>
      </w:r>
      <w:r>
        <w:rPr>
          <w:color w:val="000000"/>
          <w:sz w:val="28"/>
          <w:szCs w:val="28"/>
        </w:rPr>
        <w:t xml:space="preserve">Старооскольского</w:t>
      </w:r>
      <w:r>
        <w:rPr>
          <w:color w:val="000000"/>
          <w:sz w:val="28"/>
          <w:szCs w:val="28"/>
        </w:rPr>
        <w:t xml:space="preserve"> почтамта УФПС Белгородской области филиала ФГУП «Почта России».</w:t>
      </w:r>
      <w:r>
        <w:rPr>
          <w:color w:val="000000"/>
          <w:sz w:val="28"/>
          <w:szCs w:val="28"/>
        </w:rPr>
        <w:t xml:space="preserve"> По состоянию на 01.01.2012</w:t>
      </w:r>
      <w:r>
        <w:rPr>
          <w:color w:val="000000"/>
          <w:sz w:val="28"/>
          <w:szCs w:val="28"/>
        </w:rPr>
        <w:t xml:space="preserve"> года н</w:t>
      </w:r>
      <w:r>
        <w:rPr>
          <w:color w:val="000000"/>
          <w:sz w:val="28"/>
          <w:szCs w:val="28"/>
        </w:rPr>
        <w:t xml:space="preserve">а территории муниципального образования действую</w:t>
      </w:r>
      <w:r>
        <w:rPr>
          <w:color w:val="000000"/>
          <w:sz w:val="28"/>
          <w:szCs w:val="28"/>
        </w:rPr>
        <w:t xml:space="preserve">т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25</w:t>
      </w:r>
      <w:r>
        <w:rPr>
          <w:color w:val="000000"/>
          <w:sz w:val="28"/>
          <w:szCs w:val="28"/>
        </w:rPr>
        <w:t xml:space="preserve"> почтовых отделений. Средства массовой информации представлены райо</w:t>
      </w:r>
      <w:r>
        <w:rPr>
          <w:color w:val="000000"/>
          <w:sz w:val="28"/>
          <w:szCs w:val="28"/>
        </w:rPr>
        <w:t xml:space="preserve">нной газетой «</w:t>
      </w:r>
      <w:r>
        <w:rPr>
          <w:color w:val="000000"/>
          <w:sz w:val="28"/>
          <w:szCs w:val="28"/>
        </w:rPr>
        <w:t xml:space="preserve">Приосколье</w:t>
      </w:r>
      <w:r>
        <w:rPr>
          <w:color w:val="000000"/>
          <w:sz w:val="28"/>
          <w:szCs w:val="28"/>
        </w:rPr>
        <w:t xml:space="preserve">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Данные таблицы </w:t>
      </w:r>
      <w:r>
        <w:rPr>
          <w:color w:val="000000"/>
          <w:sz w:val="28"/>
          <w:szCs w:val="28"/>
        </w:rPr>
        <w:t xml:space="preserve">24 </w:t>
      </w:r>
      <w:r>
        <w:rPr>
          <w:color w:val="000000"/>
          <w:sz w:val="28"/>
          <w:szCs w:val="28"/>
        </w:rPr>
        <w:t xml:space="preserve">свидетельствуют о том, что в районе активно идет процесс информатизации всех сфер жизни.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2011 году количество телефонных аппаратов (включая таксофоны) телефонной сети общего пользования выросло на </w:t>
      </w:r>
      <w:r>
        <w:rPr>
          <w:color w:val="000000"/>
          <w:sz w:val="28"/>
          <w:szCs w:val="28"/>
        </w:rPr>
        <w:t xml:space="preserve">1</w:t>
      </w:r>
      <w:r>
        <w:rPr>
          <w:color w:val="000000"/>
          <w:sz w:val="28"/>
          <w:szCs w:val="28"/>
        </w:rPr>
        <w:t xml:space="preserve">,7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процента</w:t>
      </w:r>
      <w:r>
        <w:rPr>
          <w:color w:val="000000"/>
          <w:sz w:val="28"/>
          <w:szCs w:val="28"/>
        </w:rPr>
        <w:t xml:space="preserve">.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24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Связь, телекоммуникации и информационные технологии </w:t>
      </w:r>
      <w:r>
        <w:rPr>
          <w:b/>
          <w:color w:val="000000"/>
          <w:sz w:val="28"/>
          <w:szCs w:val="28"/>
        </w:rPr>
        <w:t xml:space="preserve">в МО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08"/>
        <w:jc w:val="center"/>
        <w:rPr>
          <w:b/>
          <w:color w:val="000000"/>
        </w:rPr>
      </w:pPr>
      <w:r>
        <w:rPr>
          <w:b/>
          <w:color w:val="000000"/>
        </w:rPr>
      </w:r>
      <w:r>
        <w:rPr>
          <w:b/>
          <w:color w:val="000000"/>
        </w:rPr>
      </w:r>
      <w:r>
        <w:rPr>
          <w:b/>
          <w:color w:val="000000"/>
        </w:rPr>
      </w:r>
    </w:p>
    <w:tbl>
      <w:tblPr>
        <w:tblW w:w="97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451"/>
        <w:gridCol w:w="780"/>
        <w:gridCol w:w="780"/>
        <w:gridCol w:w="780"/>
        <w:gridCol w:w="780"/>
        <w:gridCol w:w="780"/>
        <w:gridCol w:w="1370"/>
      </w:tblGrid>
      <w:tr>
        <w:tblPrEx/>
        <w:trPr>
          <w:trHeight w:val="846"/>
          <w:tblHeader/>
        </w:trPr>
        <w:tc>
          <w:tcPr>
            <w:tcW w:w="4451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Показатели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780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2007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780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2008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780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2009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780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2010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780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2011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37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Темп роста 2011 к 2007,</w:t>
            </w:r>
            <w:r>
              <w:rPr>
                <w:b/>
                <w:color w:val="000000"/>
              </w:rPr>
              <w:t xml:space="preserve">%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846"/>
        </w:trPr>
        <w:tc>
          <w:tcPr>
            <w:tcW w:w="4451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Число телефонных аппаратов (включая таксофоны) телефонной сети общего пользования (на конец года), </w:t>
            </w:r>
            <w:r>
              <w:rPr>
                <w:color w:val="000000"/>
              </w:rPr>
              <w:t xml:space="preserve">тыс.</w:t>
            </w:r>
            <w:r>
              <w:rPr>
                <w:color w:val="000000"/>
              </w:rPr>
              <w:t xml:space="preserve"> шт.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5,31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5,33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5,34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37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101,7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846"/>
        </w:trPr>
        <w:tc>
          <w:tcPr>
            <w:tcW w:w="4451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Число квартирных телефонных аппаратов сети общего пользования на 1000 человек населения, шт.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163,1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163,3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163,9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164,2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166,6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37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102,1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57"/>
        </w:trPr>
        <w:tc>
          <w:tcPr>
            <w:tcW w:w="4451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Число доставочных участков почтовой связи, ед.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37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846"/>
        </w:trPr>
        <w:tc>
          <w:tcPr>
            <w:tcW w:w="4451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Доля организаций, использовавших информационные и коммуникационные технологии,</w:t>
            </w:r>
            <w:r>
              <w:rPr>
                <w:color w:val="000000"/>
              </w:rPr>
              <w:t xml:space="preserve">%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37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 4,2 р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</w:tbl>
    <w:p>
      <w:pPr>
        <w:ind w:firstLine="708"/>
        <w:jc w:val="both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  <w:r>
        <w:rPr>
          <w:color w:val="ff0000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Число квартирных телефонных аппаратов сети общего пользования достигл</w:t>
      </w:r>
      <w:r>
        <w:rPr>
          <w:color w:val="000000"/>
          <w:sz w:val="28"/>
          <w:szCs w:val="28"/>
        </w:rPr>
        <w:t xml:space="preserve">о 166,6</w:t>
      </w:r>
      <w:r>
        <w:rPr>
          <w:color w:val="000000"/>
          <w:sz w:val="28"/>
          <w:szCs w:val="28"/>
        </w:rPr>
        <w:t xml:space="preserve"> штук в расчете на 1000 человек населения  и </w:t>
      </w:r>
      <w:r>
        <w:rPr>
          <w:sz w:val="28"/>
          <w:szCs w:val="28"/>
        </w:rPr>
        <w:t xml:space="preserve">увеличилось по сравнению с 2007 годом на 2,1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процента</w:t>
      </w:r>
      <w:r>
        <w:rPr>
          <w:sz w:val="28"/>
          <w:szCs w:val="28"/>
        </w:rPr>
        <w:t xml:space="preserve">. Остается </w:t>
      </w:r>
      <w:r>
        <w:rPr>
          <w:sz w:val="28"/>
          <w:szCs w:val="28"/>
        </w:rPr>
        <w:t xml:space="preserve">проблема н</w:t>
      </w:r>
      <w:r>
        <w:rPr>
          <w:sz w:val="28"/>
          <w:szCs w:val="28"/>
        </w:rPr>
        <w:t xml:space="preserve">изкого</w:t>
      </w:r>
      <w:r>
        <w:rPr>
          <w:sz w:val="28"/>
          <w:szCs w:val="28"/>
        </w:rPr>
        <w:t xml:space="preserve"> уровня</w:t>
      </w:r>
      <w:r>
        <w:rPr>
          <w:sz w:val="28"/>
          <w:szCs w:val="28"/>
        </w:rPr>
        <w:t xml:space="preserve"> телефонизации сельских населенных пунктов</w:t>
      </w:r>
      <w:r>
        <w:rPr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Число</w:t>
      </w:r>
      <w:r>
        <w:rPr>
          <w:color w:val="000000"/>
          <w:sz w:val="28"/>
          <w:szCs w:val="28"/>
        </w:rPr>
        <w:t xml:space="preserve"> доставочных участков почтовой связи 51.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Доля организаций, использующих информационные и коммуникационные технологии увеличилась за 2007 – 2011 годы в 4,2 раза.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1.2.1</w:t>
      </w:r>
      <w:r>
        <w:rPr>
          <w:b/>
          <w:color w:val="000000"/>
          <w:sz w:val="28"/>
          <w:szCs w:val="28"/>
        </w:rPr>
        <w:t xml:space="preserve">1</w:t>
      </w:r>
      <w:r>
        <w:rPr>
          <w:b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 xml:space="preserve">П</w:t>
      </w:r>
      <w:r>
        <w:rPr>
          <w:b/>
          <w:color w:val="000000"/>
          <w:sz w:val="28"/>
          <w:szCs w:val="28"/>
        </w:rPr>
        <w:t xml:space="preserve">отребительск</w:t>
      </w:r>
      <w:r>
        <w:rPr>
          <w:b/>
          <w:color w:val="000000"/>
          <w:sz w:val="28"/>
          <w:szCs w:val="28"/>
        </w:rPr>
        <w:t xml:space="preserve">ий</w:t>
      </w:r>
      <w:r>
        <w:rPr>
          <w:b/>
          <w:color w:val="000000"/>
          <w:sz w:val="28"/>
          <w:szCs w:val="28"/>
        </w:rPr>
        <w:t xml:space="preserve"> рын</w:t>
      </w:r>
      <w:r>
        <w:rPr>
          <w:b/>
          <w:color w:val="000000"/>
          <w:sz w:val="28"/>
          <w:szCs w:val="28"/>
        </w:rPr>
        <w:t xml:space="preserve">ок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Благоприятная экономическая конъюнктура, сложившаяся в последние годы, а также устойчивый рост ре</w:t>
      </w:r>
      <w:r>
        <w:rPr>
          <w:color w:val="000000"/>
          <w:sz w:val="28"/>
          <w:szCs w:val="28"/>
        </w:rPr>
        <w:t xml:space="preserve">альной заработной платы и пенсий</w:t>
      </w:r>
      <w:r>
        <w:rPr>
          <w:color w:val="000000"/>
          <w:sz w:val="28"/>
          <w:szCs w:val="28"/>
        </w:rPr>
        <w:t xml:space="preserve">, поступление на рынок товаров в объемах, обеспечивающих платежеспособный спрос населения, способствуют дальнейшему увеличению потребительского спроса населения и ускорению развития розничной торговли, платных услуг населению.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По состоянию на 1 января 2012 года торговая сеть представлена  330 объектами торговли различных форм собственности, торговой площадью 13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кв.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, 51 общедоступными предприятиями общественного питания на 2849 посадочных мест.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25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Развитие торговли и общественного питания </w:t>
      </w:r>
      <w:r>
        <w:rPr>
          <w:b/>
          <w:color w:val="000000"/>
          <w:sz w:val="28"/>
          <w:szCs w:val="28"/>
        </w:rPr>
        <w:t xml:space="preserve">в МО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tbl>
      <w:tblPr>
        <w:tblW w:w="9905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357"/>
        <w:gridCol w:w="815"/>
        <w:gridCol w:w="815"/>
        <w:gridCol w:w="815"/>
        <w:gridCol w:w="921"/>
        <w:gridCol w:w="886"/>
        <w:gridCol w:w="1296"/>
      </w:tblGrid>
      <w:tr>
        <w:tblPrEx/>
        <w:trPr>
          <w:trHeight w:val="765"/>
          <w:tblHeader/>
        </w:trPr>
        <w:tc>
          <w:tcPr>
            <w:tcW w:w="435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Показатели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15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2007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15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2008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15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2009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921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2010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8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2011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Темп роста 2011 к 2007,</w:t>
            </w:r>
            <w:r>
              <w:rPr>
                <w:b/>
                <w:sz w:val="22"/>
                <w:szCs w:val="22"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rHeight w:val="503"/>
        </w:trPr>
        <w:tc>
          <w:tcPr>
            <w:tcW w:w="4357" w:type="dxa"/>
            <w:textDirection w:val="lrTb"/>
            <w:noWrap w:val="false"/>
          </w:tcPr>
          <w:p>
            <w:pPr>
              <w:pStyle w:val="1034"/>
              <w:tabs>
                <w:tab w:val="clear" w:pos="4677" w:leader="none"/>
                <w:tab w:val="clear" w:pos="9355" w:leader="none"/>
              </w:tabs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Количество предприятий розничной торговли всего: (ед.)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299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332</w:t>
            </w:r>
            <w:r/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328</w:t>
            </w:r>
            <w:r/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330</w:t>
            </w:r>
            <w:r/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110,4</w:t>
            </w:r>
            <w:r/>
          </w:p>
        </w:tc>
      </w:tr>
      <w:tr>
        <w:tblPrEx/>
        <w:trPr>
          <w:trHeight w:val="242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 том числе:      - продовольственных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65</w:t>
            </w:r>
            <w:r/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63</w:t>
            </w:r>
            <w:r/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58</w:t>
            </w:r>
            <w:r/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color w:val="000000"/>
                <w:sz w:val="22"/>
                <w:szCs w:val="22"/>
              </w:rPr>
              <w:t xml:space="preserve">в </w:t>
            </w:r>
            <w:r>
              <w:rPr>
                <w:color w:val="000000"/>
                <w:sz w:val="22"/>
                <w:szCs w:val="22"/>
              </w:rPr>
              <w:t xml:space="preserve">1,5</w:t>
            </w:r>
            <w:r>
              <w:rPr>
                <w:color w:val="000000"/>
                <w:sz w:val="22"/>
                <w:szCs w:val="22"/>
              </w:rPr>
              <w:t xml:space="preserve"> раза</w:t>
            </w:r>
            <w:r/>
          </w:p>
        </w:tc>
      </w:tr>
      <w:tr>
        <w:tblPrEx/>
        <w:trPr>
          <w:trHeight w:val="242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- непродовольственных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137</w:t>
            </w:r>
            <w:r/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135</w:t>
            </w:r>
            <w:r/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134</w:t>
            </w:r>
            <w:r/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106,3</w:t>
            </w:r>
            <w:r/>
          </w:p>
        </w:tc>
      </w:tr>
      <w:tr>
        <w:tblPrEx/>
        <w:trPr>
          <w:trHeight w:val="242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- смешанных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138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130</w:t>
            </w:r>
            <w:r/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130</w:t>
            </w:r>
            <w:r/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138</w:t>
            </w:r>
            <w:r/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102,2</w:t>
            </w:r>
            <w:r/>
          </w:p>
        </w:tc>
      </w:tr>
      <w:tr>
        <w:tblPrEx/>
        <w:trPr>
          <w:trHeight w:val="503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Торговая площадь предприятий розничной торговли (м2)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12485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12682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12675</w:t>
            </w:r>
            <w:r/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12605</w:t>
            </w:r>
            <w:r/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12987</w:t>
            </w:r>
            <w:r/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104,0</w:t>
            </w:r>
            <w:r/>
          </w:p>
        </w:tc>
      </w:tr>
      <w:tr>
        <w:tblPrEx/>
        <w:trPr>
          <w:trHeight w:val="503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Торговая площадь предприятий розничной торговли на 1 </w:t>
            </w:r>
            <w:r>
              <w:rPr>
                <w:color w:val="000000"/>
                <w:sz w:val="22"/>
                <w:szCs w:val="22"/>
              </w:rPr>
              <w:t xml:space="preserve">тыс.</w:t>
            </w:r>
            <w:r>
              <w:rPr>
                <w:color w:val="000000"/>
                <w:sz w:val="22"/>
                <w:szCs w:val="22"/>
              </w:rPr>
              <w:t xml:space="preserve"> жителей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389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389</w:t>
            </w:r>
            <w:r/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386</w:t>
            </w:r>
            <w:r/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401</w:t>
            </w:r>
            <w:r/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104,7</w:t>
            </w:r>
            <w:r/>
          </w:p>
        </w:tc>
      </w:tr>
      <w:tr>
        <w:tblPrEx/>
        <w:trPr>
          <w:trHeight w:val="765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Справочно</w:t>
            </w:r>
            <w:r>
              <w:rPr>
                <w:i/>
                <w:color w:val="000000"/>
                <w:sz w:val="22"/>
                <w:szCs w:val="22"/>
              </w:rPr>
              <w:t xml:space="preserve">: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  <w:p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Торговая площадь предприятий розничной торговли на 1 </w:t>
            </w:r>
            <w:r>
              <w:rPr>
                <w:i/>
                <w:color w:val="000000"/>
                <w:sz w:val="22"/>
                <w:szCs w:val="22"/>
              </w:rPr>
              <w:t xml:space="preserve">тыс.</w:t>
            </w:r>
            <w:r>
              <w:rPr>
                <w:i/>
                <w:color w:val="000000"/>
                <w:sz w:val="22"/>
                <w:szCs w:val="22"/>
              </w:rPr>
              <w:t xml:space="preserve"> жителей по области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351,2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393,8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440,6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520,5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572,5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163,0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</w:tr>
      <w:tr>
        <w:tblPrEx/>
        <w:trPr>
          <w:trHeight w:val="342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Оборот розничной торговли (</w:t>
            </w:r>
            <w:r>
              <w:rPr>
                <w:color w:val="000000"/>
                <w:sz w:val="22"/>
                <w:szCs w:val="22"/>
              </w:rPr>
              <w:t xml:space="preserve">млн</w:t>
            </w:r>
            <w:r>
              <w:rPr>
                <w:color w:val="000000"/>
                <w:sz w:val="22"/>
                <w:szCs w:val="22"/>
              </w:rPr>
              <w:t xml:space="preserve">.</w:t>
            </w:r>
            <w:r>
              <w:rPr>
                <w:color w:val="000000"/>
                <w:sz w:val="22"/>
                <w:szCs w:val="22"/>
              </w:rPr>
              <w:t xml:space="preserve"> руб.</w:t>
            </w:r>
            <w:r>
              <w:rPr>
                <w:color w:val="000000"/>
                <w:sz w:val="22"/>
                <w:szCs w:val="22"/>
              </w:rPr>
              <w:t xml:space="preserve">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653,5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961,0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931,7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1 034,4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1169,3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 1,</w:t>
            </w:r>
            <w:r>
              <w:rPr>
                <w:color w:val="000000"/>
                <w:sz w:val="22"/>
                <w:szCs w:val="22"/>
              </w:rPr>
              <w:t xml:space="preserve">8</w:t>
            </w:r>
            <w:r>
              <w:rPr>
                <w:color w:val="000000"/>
                <w:sz w:val="22"/>
                <w:szCs w:val="22"/>
              </w:rPr>
              <w:t xml:space="preserve"> раза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3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Оборот розничной торговли на душу населения (</w:t>
            </w:r>
            <w:r>
              <w:rPr>
                <w:color w:val="000000"/>
                <w:sz w:val="22"/>
                <w:szCs w:val="22"/>
              </w:rPr>
              <w:t xml:space="preserve">руб</w:t>
            </w:r>
            <w:r>
              <w:rPr>
                <w:color w:val="000000"/>
                <w:sz w:val="22"/>
                <w:szCs w:val="22"/>
              </w:rPr>
              <w:t xml:space="preserve">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20047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29439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28592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31695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</w:t>
            </w:r>
            <w:r>
              <w:rPr>
                <w:color w:val="000000"/>
                <w:sz w:val="22"/>
                <w:szCs w:val="22"/>
              </w:rPr>
              <w:t xml:space="preserve">6056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 1,</w:t>
            </w:r>
            <w:r>
              <w:rPr>
                <w:color w:val="000000"/>
                <w:sz w:val="22"/>
                <w:szCs w:val="22"/>
              </w:rPr>
              <w:t xml:space="preserve">8</w:t>
            </w:r>
            <w:r>
              <w:rPr>
                <w:color w:val="000000"/>
                <w:sz w:val="22"/>
                <w:szCs w:val="22"/>
              </w:rPr>
              <w:t xml:space="preserve"> раза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3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Справочно</w:t>
            </w:r>
            <w:r>
              <w:rPr>
                <w:i/>
                <w:color w:val="000000"/>
                <w:sz w:val="22"/>
                <w:szCs w:val="22"/>
              </w:rPr>
              <w:t xml:space="preserve">: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  <w:p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Оборот розничной торговли на душу населения по области (</w:t>
            </w:r>
            <w:r>
              <w:rPr>
                <w:i/>
                <w:color w:val="000000"/>
                <w:sz w:val="22"/>
                <w:szCs w:val="22"/>
              </w:rPr>
              <w:t xml:space="preserve">руб</w:t>
            </w:r>
            <w:r>
              <w:rPr>
                <w:i/>
                <w:color w:val="000000"/>
                <w:sz w:val="22"/>
                <w:szCs w:val="22"/>
              </w:rPr>
              <w:t xml:space="preserve">)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55487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74651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82217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93527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108610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 </w:t>
            </w:r>
            <w:r>
              <w:rPr>
                <w:color w:val="000000"/>
                <w:sz w:val="22"/>
                <w:szCs w:val="22"/>
              </w:rPr>
              <w:t xml:space="preserve">2,0</w:t>
            </w:r>
            <w:r>
              <w:rPr>
                <w:color w:val="000000"/>
                <w:sz w:val="22"/>
                <w:szCs w:val="22"/>
              </w:rPr>
              <w:t xml:space="preserve"> раза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</w:tr>
      <w:tr>
        <w:tblPrEx/>
        <w:trPr>
          <w:trHeight w:val="303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color w:val="000000"/>
                <w:highlight w:val="red"/>
              </w:rPr>
            </w:pPr>
            <w:r>
              <w:rPr>
                <w:color w:val="000000"/>
                <w:sz w:val="22"/>
                <w:szCs w:val="22"/>
              </w:rPr>
              <w:t xml:space="preserve">Коэффициент сравнения оборота розничной торговли на душу населения (МО/Область)</w:t>
            </w:r>
            <w:r>
              <w:rPr>
                <w:color w:val="000000"/>
                <w:highlight w:val="red"/>
              </w:rPr>
            </w:r>
            <w:r>
              <w:rPr>
                <w:color w:val="000000"/>
                <w:highlight w:val="red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0,36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0,39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0,35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0,34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0,35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x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42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Количество розничных рынков (ед.)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</w:t>
            </w:r>
            <w:r/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</w:t>
            </w:r>
            <w:r/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100,0</w:t>
            </w:r>
            <w:r/>
          </w:p>
        </w:tc>
      </w:tr>
      <w:tr>
        <w:tblPrEx/>
        <w:trPr>
          <w:trHeight w:val="503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Количество предприятий общественного питания (ед.)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54</w:t>
            </w:r>
            <w:r/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51</w:t>
            </w:r>
            <w:r/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96,2</w:t>
            </w:r>
            <w:r/>
          </w:p>
        </w:tc>
      </w:tr>
      <w:tr>
        <w:tblPrEx/>
        <w:trPr>
          <w:trHeight w:val="483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Количество посадочных мест в предприятиях общественного питания (ед.)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2755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2795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2689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2701</w:t>
            </w:r>
            <w:r/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2849</w:t>
            </w:r>
            <w:r/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103,4</w:t>
            </w:r>
            <w:r/>
          </w:p>
        </w:tc>
      </w:tr>
      <w:tr>
        <w:tblPrEx/>
        <w:trPr>
          <w:trHeight w:val="503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Количество посадочных мест на 1 </w:t>
            </w:r>
            <w:r>
              <w:rPr>
                <w:color w:val="000000"/>
                <w:sz w:val="22"/>
                <w:szCs w:val="22"/>
              </w:rPr>
              <w:t xml:space="preserve">тыс.</w:t>
            </w:r>
            <w:r>
              <w:rPr>
                <w:color w:val="000000"/>
                <w:sz w:val="22"/>
                <w:szCs w:val="22"/>
              </w:rPr>
              <w:t xml:space="preserve"> жителей (ед.)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85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86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83</w:t>
            </w:r>
            <w:r/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88</w:t>
            </w:r>
            <w:r/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103,5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765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Справочно</w:t>
            </w:r>
            <w:r>
              <w:rPr>
                <w:i/>
                <w:color w:val="000000"/>
                <w:sz w:val="22"/>
                <w:szCs w:val="22"/>
              </w:rPr>
              <w:t xml:space="preserve">: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  <w:p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Количество посадочных мест на 1 </w:t>
            </w:r>
            <w:r>
              <w:rPr>
                <w:i/>
                <w:color w:val="000000"/>
                <w:sz w:val="22"/>
                <w:szCs w:val="22"/>
              </w:rPr>
              <w:t xml:space="preserve">тыс.</w:t>
            </w:r>
            <w:r>
              <w:rPr>
                <w:i/>
                <w:color w:val="000000"/>
                <w:sz w:val="22"/>
                <w:szCs w:val="22"/>
              </w:rPr>
              <w:t xml:space="preserve"> жителей по области (ед.)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85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85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84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85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85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100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</w:tr>
      <w:tr>
        <w:tblPrEx/>
        <w:trPr>
          <w:trHeight w:val="303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Оборот общественного питания 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(</w:t>
            </w:r>
            <w:r>
              <w:rPr>
                <w:color w:val="000000"/>
                <w:sz w:val="22"/>
                <w:szCs w:val="22"/>
              </w:rPr>
              <w:t xml:space="preserve">млн руб.</w:t>
            </w:r>
            <w:r>
              <w:rPr>
                <w:color w:val="000000"/>
                <w:sz w:val="22"/>
                <w:szCs w:val="22"/>
              </w:rPr>
              <w:t xml:space="preserve">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33,7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41,4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36,5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32,6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45,3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134,4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3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Оборот общественного питания на душу населения (</w:t>
            </w:r>
            <w:r>
              <w:rPr>
                <w:color w:val="000000"/>
                <w:sz w:val="22"/>
                <w:szCs w:val="22"/>
              </w:rPr>
              <w:t xml:space="preserve">руб</w:t>
            </w:r>
            <w:r>
              <w:rPr>
                <w:color w:val="000000"/>
                <w:sz w:val="22"/>
                <w:szCs w:val="22"/>
              </w:rPr>
              <w:t xml:space="preserve">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1032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1268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1121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999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1397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135,4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303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Справочно</w:t>
            </w:r>
            <w:r>
              <w:rPr>
                <w:i/>
                <w:color w:val="000000"/>
                <w:sz w:val="22"/>
                <w:szCs w:val="22"/>
              </w:rPr>
              <w:t xml:space="preserve">: 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  <w:p>
            <w:pPr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Оборот общественного питания на душу населения по области (</w:t>
            </w:r>
            <w:r>
              <w:rPr>
                <w:i/>
                <w:color w:val="000000"/>
                <w:sz w:val="22"/>
                <w:szCs w:val="22"/>
              </w:rPr>
              <w:t xml:space="preserve">руб</w:t>
            </w:r>
            <w:r>
              <w:rPr>
                <w:i/>
                <w:color w:val="000000"/>
                <w:sz w:val="22"/>
                <w:szCs w:val="22"/>
              </w:rPr>
              <w:t xml:space="preserve">)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1661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2476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2470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2507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  <w:sz w:val="22"/>
                <w:szCs w:val="22"/>
              </w:rPr>
              <w:t xml:space="preserve">2738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 1,</w:t>
            </w:r>
            <w:r>
              <w:rPr>
                <w:color w:val="000000"/>
                <w:sz w:val="22"/>
                <w:szCs w:val="22"/>
              </w:rPr>
              <w:t xml:space="preserve">6</w:t>
            </w:r>
            <w:r>
              <w:rPr>
                <w:color w:val="000000"/>
                <w:sz w:val="22"/>
                <w:szCs w:val="22"/>
              </w:rPr>
              <w:t xml:space="preserve"> раза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</w:tr>
      <w:tr>
        <w:tblPrEx/>
        <w:trPr>
          <w:trHeight w:val="303"/>
        </w:trPr>
        <w:tc>
          <w:tcPr>
            <w:tcW w:w="4357" w:type="dxa"/>
            <w:textDirection w:val="lrTb"/>
            <w:noWrap w:val="false"/>
          </w:tcPr>
          <w:p>
            <w:pPr>
              <w:rPr>
                <w:color w:val="000000"/>
                <w:highlight w:val="red"/>
              </w:rPr>
            </w:pPr>
            <w:r>
              <w:rPr>
                <w:color w:val="000000"/>
                <w:sz w:val="22"/>
                <w:szCs w:val="22"/>
              </w:rPr>
              <w:t xml:space="preserve">Коэффициент сравнения оборота общественного питания на душу населения (МО/Область)</w:t>
            </w:r>
            <w:r>
              <w:rPr>
                <w:color w:val="000000"/>
                <w:highlight w:val="red"/>
              </w:rPr>
            </w:r>
            <w:r>
              <w:rPr>
                <w:color w:val="000000"/>
                <w:highlight w:val="red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0,62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1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0,45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2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8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0,51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9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 xml:space="preserve">x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</w:tbl>
    <w:p>
      <w:pPr>
        <w:ind w:firstLine="708"/>
        <w:jc w:val="right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2011 году по сравнению с 2007 годом количество предприятий розничной торговли выросло на 31 единиц</w:t>
      </w: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, или на 10,4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процента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Оборот розничной торговли в 2011 году составил 1235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 и возрос в 1,89 раза в фактических ценах  к 2007 </w:t>
      </w:r>
      <w:r>
        <w:rPr>
          <w:color w:val="000000"/>
          <w:sz w:val="28"/>
          <w:szCs w:val="28"/>
        </w:rPr>
        <w:t xml:space="preserve">году. </w:t>
      </w:r>
      <w:r>
        <w:rPr>
          <w:color w:val="000000"/>
          <w:sz w:val="28"/>
          <w:szCs w:val="28"/>
        </w:rPr>
        <w:t xml:space="preserve">При</w:t>
      </w:r>
      <w:r>
        <w:rPr>
          <w:color w:val="000000"/>
          <w:sz w:val="28"/>
          <w:szCs w:val="28"/>
        </w:rPr>
        <w:t xml:space="preserve"> этом оборот розничной торговли на душу населения на 64,9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ниже данного показателя по области.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территории сохранена система потребительской кооперации, на ее долю приходится 9,3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от оборота розничной торговли. </w:t>
      </w:r>
      <w:r>
        <w:rPr>
          <w:color w:val="000000"/>
          <w:sz w:val="28"/>
          <w:szCs w:val="28"/>
        </w:rPr>
        <w:t xml:space="preserve">Чер</w:t>
      </w:r>
      <w:r>
        <w:rPr>
          <w:color w:val="000000"/>
          <w:sz w:val="28"/>
          <w:szCs w:val="28"/>
        </w:rPr>
        <w:t xml:space="preserve">нянское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потребительское общество включает в себя 42 торговых предприятия, 16 предприятий общественного питания, швейный цех.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структуре оборота розничной торговли преобладает продажа непродовольственной группы товаров, на ее долю приходится 47,5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на долю продовольственной группы – 52,5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процента</w:t>
      </w:r>
      <w:r>
        <w:rPr>
          <w:color w:val="000000"/>
          <w:sz w:val="28"/>
          <w:szCs w:val="28"/>
        </w:rPr>
        <w:t xml:space="preserve">. Возросло</w:t>
      </w:r>
      <w:r>
        <w:rPr>
          <w:sz w:val="28"/>
          <w:szCs w:val="28"/>
        </w:rPr>
        <w:t xml:space="preserve"> число крупных предприятий, реализующих широкий ассортимент непродовольственных товаров, с </w:t>
      </w:r>
      <w:r>
        <w:rPr>
          <w:sz w:val="28"/>
          <w:szCs w:val="28"/>
        </w:rPr>
        <w:t xml:space="preserve">привлечением и оказанием банковских услуг.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некоторых отдаленных населенных пунктах сельской местности отсутствуют предприятия торгового и бытового обслуживания, что </w:t>
      </w:r>
      <w:r>
        <w:rPr>
          <w:sz w:val="28"/>
          <w:szCs w:val="28"/>
        </w:rPr>
        <w:t xml:space="preserve">некоторым образом компенсируется работой выездных автолавок.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Оборот общественного питания в 2011 году составил 45,3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, что на 34,4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больше, чем в 2007 году, </w:t>
      </w:r>
      <w:r>
        <w:rPr>
          <w:color w:val="000000"/>
          <w:sz w:val="28"/>
          <w:szCs w:val="28"/>
        </w:rPr>
        <w:t xml:space="preserve">однако, в расчете на душу населения, оборот общественного питания на 48,9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ниже, чем по области.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Ежегодно возрастают объемы оборота розничной торговли и общественного питания. Идет тенденция роста потребительских расходов.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Торгующие организации внедряют современные стандарты и технологии, связанные с</w:t>
      </w:r>
      <w:r>
        <w:rPr>
          <w:color w:val="000000"/>
          <w:sz w:val="28"/>
          <w:szCs w:val="28"/>
        </w:rPr>
        <w:t xml:space="preserve"> сетевыми формами организации торгового обслуживания, что позволяет обеспечить удовлетворение различных слоев населения района широким ассортиментом товаров по доступным ценам, с гарантией качества и безопасности и способствует увеличению спроса населения.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Население обеспечено всеми видами основных бытовых услуг. С каждым годом растет количество предприятий по их оказанию и улучшается качество их оказания.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26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Развитие платных услуг в МО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rPr>
          <w:b/>
          <w:color w:val="ff0000"/>
        </w:rPr>
      </w:pPr>
      <w:r>
        <w:rPr>
          <w:b/>
          <w:color w:val="ff0000"/>
        </w:rPr>
      </w:r>
      <w:r>
        <w:rPr>
          <w:b/>
          <w:color w:val="ff0000"/>
        </w:rPr>
      </w:r>
      <w:r>
        <w:rPr>
          <w:b/>
          <w:color w:val="ff0000"/>
        </w:rPr>
      </w:r>
    </w:p>
    <w:tbl>
      <w:tblPr>
        <w:tblW w:w="974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965"/>
        <w:gridCol w:w="965"/>
        <w:gridCol w:w="965"/>
        <w:gridCol w:w="965"/>
        <w:gridCol w:w="966"/>
        <w:gridCol w:w="1624"/>
      </w:tblGrid>
      <w:tr>
        <w:tblPrEx/>
        <w:trPr>
          <w:trHeight w:val="833"/>
          <w:tblHeader/>
        </w:trPr>
        <w:tc>
          <w:tcPr>
            <w:tcW w:w="3294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Показатели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65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2007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65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2008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65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2009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65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2010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66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2011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62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Темп роста 2011 к 2007,</w:t>
            </w:r>
            <w:r>
              <w:rPr>
                <w:b/>
                <w:color w:val="000000"/>
              </w:rPr>
              <w:t xml:space="preserve">%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549"/>
        </w:trPr>
        <w:tc>
          <w:tcPr>
            <w:tcW w:w="3294" w:type="dxa"/>
            <w:textDirection w:val="lrTb"/>
            <w:noWrap w:val="false"/>
          </w:tcPr>
          <w:p>
            <w:pPr>
              <w:pStyle w:val="1034"/>
              <w:jc w:val="both"/>
              <w:tabs>
                <w:tab w:val="clear" w:pos="4677" w:leader="none"/>
                <w:tab w:val="clear" w:pos="9355" w:leader="none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Объем платных услуг населению (</w:t>
            </w:r>
            <w:r>
              <w:rPr>
                <w:color w:val="000000"/>
              </w:rPr>
              <w:t xml:space="preserve">тыс.</w:t>
            </w:r>
            <w:r>
              <w:rPr>
                <w:color w:val="000000"/>
              </w:rPr>
              <w:t xml:space="preserve"> руб.</w:t>
            </w:r>
            <w:r>
              <w:rPr>
                <w:color w:val="000000"/>
              </w:rPr>
              <w:t xml:space="preserve">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133 205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177 212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225 686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272000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319000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 2,4 р</w:t>
            </w:r>
            <w:r>
              <w:rPr>
                <w:color w:val="000000"/>
              </w:rPr>
              <w:t xml:space="preserve">аза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49"/>
        </w:trPr>
        <w:tc>
          <w:tcPr>
            <w:tcW w:w="3294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том числе: объем бытовых услуг населению (</w:t>
            </w:r>
            <w:r>
              <w:rPr>
                <w:color w:val="000000"/>
              </w:rPr>
              <w:t xml:space="preserve">тыс.</w:t>
            </w:r>
            <w:r>
              <w:rPr>
                <w:color w:val="000000"/>
              </w:rPr>
              <w:t xml:space="preserve"> руб.</w:t>
            </w:r>
            <w:r>
              <w:rPr>
                <w:color w:val="000000"/>
              </w:rPr>
              <w:t xml:space="preserve">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48 211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82 444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104 551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127000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145500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 3 р</w:t>
            </w:r>
            <w:r>
              <w:rPr>
                <w:color w:val="000000"/>
              </w:rPr>
              <w:t xml:space="preserve">аза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69"/>
        </w:trPr>
        <w:tc>
          <w:tcPr>
            <w:tcW w:w="3294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Количество предприятий службы быта (ед.)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143,4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49"/>
        </w:trPr>
        <w:tc>
          <w:tcPr>
            <w:tcW w:w="3294" w:type="dxa"/>
            <w:textDirection w:val="lrTb"/>
            <w:noWrap w:val="false"/>
          </w:tcPr>
          <w:p>
            <w:pPr>
              <w:pStyle w:val="1034"/>
              <w:jc w:val="both"/>
              <w:tabs>
                <w:tab w:val="clear" w:pos="4677" w:leader="none"/>
                <w:tab w:val="clear" w:pos="9355" w:leader="none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Объем платных услуг на 1 </w:t>
            </w:r>
            <w:r>
              <w:rPr>
                <w:color w:val="000000"/>
              </w:rPr>
              <w:t xml:space="preserve">тыс.</w:t>
            </w:r>
            <w:r>
              <w:rPr>
                <w:color w:val="000000"/>
              </w:rPr>
              <w:t xml:space="preserve"> жителей (</w:t>
            </w:r>
            <w:r>
              <w:rPr>
                <w:color w:val="000000"/>
              </w:rPr>
              <w:t xml:space="preserve">руб</w:t>
            </w:r>
            <w:r>
              <w:rPr>
                <w:color w:val="000000"/>
              </w:rPr>
              <w:t xml:space="preserve">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4 086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5 419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6 923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8334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9839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 2,4 р</w:t>
            </w:r>
            <w:r>
              <w:rPr>
                <w:color w:val="000000"/>
              </w:rPr>
              <w:t xml:space="preserve">аза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1117"/>
        </w:trPr>
        <w:tc>
          <w:tcPr>
            <w:tcW w:w="3294" w:type="dxa"/>
            <w:textDirection w:val="lrTb"/>
            <w:noWrap w:val="false"/>
          </w:tcPr>
          <w:p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Справочно</w:t>
            </w:r>
            <w:r>
              <w:rPr>
                <w:i/>
                <w:color w:val="000000"/>
              </w:rPr>
              <w:t xml:space="preserve">: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  <w:p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Объем платных услуг на 1 </w:t>
            </w:r>
            <w:r>
              <w:rPr>
                <w:i/>
                <w:color w:val="000000"/>
              </w:rPr>
              <w:t xml:space="preserve">тыс.</w:t>
            </w:r>
            <w:r>
              <w:rPr>
                <w:i/>
                <w:color w:val="000000"/>
              </w:rPr>
              <w:t xml:space="preserve"> жителей по области (</w:t>
            </w:r>
            <w:r>
              <w:rPr>
                <w:i/>
                <w:color w:val="000000"/>
              </w:rPr>
              <w:t xml:space="preserve">руб</w:t>
            </w:r>
            <w:r>
              <w:rPr>
                <w:i/>
                <w:color w:val="000000"/>
              </w:rPr>
              <w:t xml:space="preserve">)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14 713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20 147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24 740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28291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966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32726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1624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в 2,2 р</w:t>
            </w:r>
            <w:r>
              <w:rPr>
                <w:i/>
                <w:color w:val="000000"/>
              </w:rPr>
              <w:t xml:space="preserve">аза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</w:tr>
      <w:tr>
        <w:tblPrEx/>
        <w:trPr>
          <w:trHeight w:val="833"/>
        </w:trPr>
        <w:tc>
          <w:tcPr>
            <w:tcW w:w="3294" w:type="dxa"/>
            <w:textDirection w:val="lrTb"/>
            <w:noWrap w:val="false"/>
          </w:tcPr>
          <w:p>
            <w:pPr>
              <w:jc w:val="both"/>
              <w:rPr>
                <w:color w:val="000000"/>
                <w:highlight w:val="red"/>
              </w:rPr>
            </w:pPr>
            <w:r>
              <w:rPr>
                <w:color w:val="000000"/>
              </w:rPr>
              <w:t xml:space="preserve">Коэффициент сравнения объема платных услуг на 1 </w:t>
            </w:r>
            <w:r>
              <w:rPr>
                <w:color w:val="000000"/>
              </w:rPr>
              <w:t xml:space="preserve">тыс.</w:t>
            </w:r>
            <w:r>
              <w:rPr>
                <w:color w:val="000000"/>
              </w:rPr>
              <w:t xml:space="preserve"> жителей (МО/Область)</w:t>
            </w:r>
            <w:r>
              <w:rPr>
                <w:color w:val="000000"/>
                <w:highlight w:val="red"/>
              </w:rPr>
            </w:r>
            <w:r>
              <w:rPr>
                <w:color w:val="000000"/>
                <w:highlight w:val="red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0,29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x</w:t>
            </w:r>
            <w:r>
              <w:rPr>
                <w:color w:val="000000"/>
                <w:lang w:val="en-US"/>
              </w:rPr>
            </w:r>
            <w:r>
              <w:rPr>
                <w:color w:val="000000"/>
                <w:lang w:val="en-US"/>
              </w:rPr>
            </w:r>
          </w:p>
        </w:tc>
      </w:tr>
      <w:tr>
        <w:tblPrEx/>
        <w:trPr>
          <w:trHeight w:val="549"/>
        </w:trPr>
        <w:tc>
          <w:tcPr>
            <w:tcW w:w="3294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Объем бытовых услуг на 1 </w:t>
            </w:r>
            <w:r>
              <w:rPr>
                <w:color w:val="000000"/>
              </w:rPr>
              <w:t xml:space="preserve">тыс.</w:t>
            </w:r>
            <w:r>
              <w:rPr>
                <w:color w:val="000000"/>
              </w:rPr>
              <w:t xml:space="preserve"> жителей (</w:t>
            </w:r>
            <w:r>
              <w:rPr>
                <w:color w:val="000000"/>
              </w:rPr>
              <w:t xml:space="preserve">руб</w:t>
            </w:r>
            <w:r>
              <w:rPr>
                <w:color w:val="000000"/>
              </w:rPr>
              <w:t xml:space="preserve">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1 479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2 521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3207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3891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4488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 3 р</w:t>
            </w:r>
            <w:r>
              <w:rPr>
                <w:color w:val="000000"/>
              </w:rPr>
              <w:t xml:space="preserve">аза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1117"/>
        </w:trPr>
        <w:tc>
          <w:tcPr>
            <w:tcW w:w="3294" w:type="dxa"/>
            <w:textDirection w:val="lrTb"/>
            <w:noWrap w:val="false"/>
          </w:tcPr>
          <w:p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Справочно</w:t>
            </w:r>
            <w:r>
              <w:rPr>
                <w:i/>
                <w:color w:val="000000"/>
              </w:rPr>
              <w:t xml:space="preserve">: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  <w:p>
            <w:pP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Объем бытовых услуг на 1 </w:t>
            </w:r>
            <w:r>
              <w:rPr>
                <w:i/>
                <w:color w:val="000000"/>
              </w:rPr>
              <w:t xml:space="preserve">тыс.</w:t>
            </w:r>
            <w:r>
              <w:rPr>
                <w:i/>
                <w:color w:val="000000"/>
              </w:rPr>
              <w:t xml:space="preserve"> жителей по области (</w:t>
            </w:r>
            <w:r>
              <w:rPr>
                <w:i/>
                <w:color w:val="000000"/>
              </w:rPr>
              <w:t xml:space="preserve">руб</w:t>
            </w:r>
            <w:r>
              <w:rPr>
                <w:i/>
                <w:color w:val="000000"/>
              </w:rPr>
              <w:t xml:space="preserve">)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2 290,5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3 589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4 507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5365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966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5750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  <w:tc>
          <w:tcPr>
            <w:tcW w:w="1624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в 2,5 р</w:t>
            </w:r>
            <w:r>
              <w:rPr>
                <w:i/>
                <w:color w:val="000000"/>
              </w:rPr>
              <w:t xml:space="preserve">аза</w:t>
            </w:r>
            <w:r>
              <w:rPr>
                <w:i/>
                <w:color w:val="000000"/>
              </w:rPr>
            </w:r>
            <w:r>
              <w:rPr>
                <w:i/>
                <w:color w:val="000000"/>
              </w:rPr>
            </w:r>
          </w:p>
        </w:tc>
      </w:tr>
      <w:tr>
        <w:tblPrEx/>
        <w:trPr>
          <w:trHeight w:val="853"/>
        </w:trPr>
        <w:tc>
          <w:tcPr>
            <w:tcW w:w="3294" w:type="dxa"/>
            <w:textDirection w:val="lrTb"/>
            <w:noWrap w:val="false"/>
          </w:tcPr>
          <w:p>
            <w:pPr>
              <w:jc w:val="both"/>
              <w:rPr>
                <w:color w:val="000000"/>
                <w:highlight w:val="red"/>
              </w:rPr>
            </w:pPr>
            <w:r>
              <w:rPr>
                <w:color w:val="000000"/>
              </w:rPr>
              <w:t xml:space="preserve">Коэффициент сравнения объема бытовых услуг на 1 </w:t>
            </w:r>
            <w:r>
              <w:rPr>
                <w:color w:val="000000"/>
              </w:rPr>
              <w:t xml:space="preserve">тыс.</w:t>
            </w:r>
            <w:r>
              <w:rPr>
                <w:color w:val="000000"/>
              </w:rPr>
              <w:t xml:space="preserve"> жителей (МО/Область)</w:t>
            </w:r>
            <w:r>
              <w:rPr>
                <w:color w:val="000000"/>
                <w:highlight w:val="red"/>
              </w:rPr>
            </w:r>
            <w:r>
              <w:rPr>
                <w:color w:val="000000"/>
                <w:highlight w:val="red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6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4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x</w:t>
            </w:r>
            <w:r>
              <w:rPr>
                <w:color w:val="000000"/>
                <w:lang w:val="en-US"/>
              </w:rPr>
            </w:r>
            <w:r>
              <w:rPr>
                <w:color w:val="000000"/>
                <w:lang w:val="en-US"/>
              </w:rPr>
            </w:r>
          </w:p>
        </w:tc>
      </w:tr>
    </w:tbl>
    <w:p>
      <w:pPr>
        <w:ind w:firstLine="708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анализируемый период объем платных услуг населению возрос в                 2,4 раза, а объем бытовых услуг  в 3,0 раза</w:t>
      </w:r>
      <w:r>
        <w:rPr>
          <w:color w:val="000000"/>
          <w:sz w:val="28"/>
          <w:szCs w:val="28"/>
        </w:rPr>
        <w:t xml:space="preserve">, притом, что произошло увеличение количества предприятий службы быта на 21 единиц</w:t>
      </w:r>
      <w:r>
        <w:rPr>
          <w:color w:val="000000"/>
          <w:sz w:val="28"/>
          <w:szCs w:val="28"/>
        </w:rPr>
        <w:t xml:space="preserve">у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Объем платных услуг на одну </w:t>
      </w:r>
      <w:r>
        <w:rPr>
          <w:color w:val="000000"/>
          <w:sz w:val="28"/>
          <w:szCs w:val="28"/>
        </w:rPr>
        <w:t xml:space="preserve">тыс</w:t>
      </w:r>
      <w:r>
        <w:rPr>
          <w:color w:val="000000"/>
          <w:sz w:val="28"/>
          <w:szCs w:val="28"/>
        </w:rPr>
        <w:t xml:space="preserve">ячу жителей в 2011 году на 70</w:t>
      </w:r>
      <w:r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0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ниже аналогичного показателя по области.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Объем бытовых услуг на одну </w:t>
      </w:r>
      <w:r>
        <w:rPr>
          <w:color w:val="000000"/>
          <w:sz w:val="28"/>
          <w:szCs w:val="28"/>
        </w:rPr>
        <w:t xml:space="preserve">тыс</w:t>
      </w:r>
      <w:r>
        <w:rPr>
          <w:color w:val="000000"/>
          <w:sz w:val="28"/>
          <w:szCs w:val="28"/>
        </w:rPr>
        <w:t xml:space="preserve">ячу жителей </w:t>
      </w:r>
      <w:r>
        <w:rPr>
          <w:color w:val="000000"/>
          <w:sz w:val="28"/>
          <w:szCs w:val="28"/>
        </w:rPr>
        <w:t xml:space="preserve">состав</w:t>
      </w:r>
      <w:r>
        <w:rPr>
          <w:color w:val="000000"/>
          <w:sz w:val="28"/>
          <w:szCs w:val="28"/>
        </w:rPr>
        <w:t xml:space="preserve">ляет</w:t>
      </w:r>
      <w:r>
        <w:rPr>
          <w:color w:val="000000"/>
          <w:sz w:val="28"/>
          <w:szCs w:val="28"/>
        </w:rPr>
        <w:t xml:space="preserve"> 78,</w:t>
      </w:r>
      <w:r>
        <w:rPr>
          <w:color w:val="000000"/>
          <w:sz w:val="28"/>
          <w:szCs w:val="28"/>
        </w:rPr>
        <w:t xml:space="preserve">1% областного уровня.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создания населению максимально комфортных условий в местах застройки населенных пунктов разработаны перспективные планы размещения предприятий розничной торговли в комплексе с предприятиями культурно-бытового назначения как в строящихся, так и </w:t>
      </w:r>
      <w:r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реконструируемых зданиях.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1.2.1</w:t>
      </w:r>
      <w:r>
        <w:rPr>
          <w:b/>
          <w:sz w:val="28"/>
          <w:szCs w:val="28"/>
        </w:rPr>
        <w:t xml:space="preserve">2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Защита жизни и имущества граждан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важнейших направлений работы муниципальной власти является снижение и предупреждение угроз жизни и имущества населения, борьба с преступностью, незаконным оборотом наркотиков, профилактическая работа.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27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1009"/>
        <w:rPr>
          <w:rFonts w:ascii="Times New Roman" w:hAnsi="Times New Roman"/>
          <w:sz w:val="28"/>
          <w:szCs w:val="28"/>
          <w14:ligatures w14:val="none"/>
        </w:rPr>
      </w:pPr>
      <w:r>
        <w:rPr>
          <w:rFonts w:ascii="Times New Roman" w:hAnsi="Times New Roman"/>
          <w:sz w:val="28"/>
          <w:szCs w:val="28"/>
        </w:rPr>
        <w:t xml:space="preserve">Динамика показателей преступности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МО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  <w14:ligatures w14:val="none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8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971"/>
        <w:gridCol w:w="878"/>
        <w:gridCol w:w="878"/>
        <w:gridCol w:w="878"/>
        <w:gridCol w:w="878"/>
        <w:gridCol w:w="878"/>
        <w:gridCol w:w="1461"/>
      </w:tblGrid>
      <w:tr>
        <w:tblPrEx/>
        <w:trPr>
          <w:trHeight w:val="835"/>
          <w:tblHeader/>
        </w:trPr>
        <w:tc>
          <w:tcPr>
            <w:tcW w:w="3971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Показатели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78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2007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78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2008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78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2009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78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2010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78" w:type="dxa"/>
            <w:textDirection w:val="lrTb"/>
            <w:noWrap w:val="false"/>
          </w:tcPr>
          <w:p>
            <w:pPr>
              <w:numPr>
                <w:ilvl w:val="0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 xml:space="preserve">2011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46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Темп роста 2011 к 2007,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rHeight w:val="265"/>
        </w:trPr>
        <w:tc>
          <w:tcPr>
            <w:tcW w:w="3971" w:type="dxa"/>
            <w:textDirection w:val="lrTb"/>
            <w:noWrap w:val="false"/>
          </w:tcPr>
          <w:p>
            <w:pPr>
              <w:jc w:val="both"/>
            </w:pPr>
            <w:r>
              <w:t xml:space="preserve">Зарегистрировано преступлений (ед.) 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319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306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299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305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262</w:t>
            </w:r>
            <w:r/>
          </w:p>
        </w:tc>
        <w:tc>
          <w:tcPr>
            <w:tcW w:w="146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82,1</w:t>
            </w:r>
            <w:r/>
          </w:p>
        </w:tc>
      </w:tr>
      <w:tr>
        <w:tblPrEx/>
        <w:trPr>
          <w:trHeight w:val="265"/>
        </w:trPr>
        <w:tc>
          <w:tcPr>
            <w:tcW w:w="3971" w:type="dxa"/>
            <w:textDirection w:val="lrTb"/>
            <w:noWrap w:val="false"/>
          </w:tcPr>
          <w:p>
            <w:pPr>
              <w:jc w:val="both"/>
            </w:pPr>
            <w:r>
              <w:t xml:space="preserve">из них: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1461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>
          <w:trHeight w:val="265"/>
        </w:trPr>
        <w:tc>
          <w:tcPr>
            <w:tcW w:w="3971" w:type="dxa"/>
            <w:textDirection w:val="lrTb"/>
            <w:noWrap w:val="false"/>
          </w:tcPr>
          <w:p>
            <w:pPr>
              <w:jc w:val="both"/>
            </w:pPr>
            <w:r>
              <w:t xml:space="preserve">   против личности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68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79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78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72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61</w:t>
            </w:r>
            <w:r/>
          </w:p>
        </w:tc>
        <w:tc>
          <w:tcPr>
            <w:tcW w:w="146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89,7</w:t>
            </w:r>
            <w:r/>
          </w:p>
        </w:tc>
      </w:tr>
      <w:tr>
        <w:tblPrEx/>
        <w:trPr>
          <w:trHeight w:val="285"/>
        </w:trPr>
        <w:tc>
          <w:tcPr>
            <w:tcW w:w="3971" w:type="dxa"/>
            <w:textDirection w:val="lrTb"/>
            <w:noWrap w:val="false"/>
          </w:tcPr>
          <w:p>
            <w:pPr>
              <w:jc w:val="both"/>
            </w:pPr>
            <w:r>
              <w:t xml:space="preserve">   против собственности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176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143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150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180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151</w:t>
            </w:r>
            <w:r/>
          </w:p>
        </w:tc>
        <w:tc>
          <w:tcPr>
            <w:tcW w:w="146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85,8</w:t>
            </w:r>
            <w:r/>
          </w:p>
        </w:tc>
      </w:tr>
      <w:tr>
        <w:tblPrEx/>
        <w:trPr>
          <w:trHeight w:val="265"/>
        </w:trPr>
        <w:tc>
          <w:tcPr>
            <w:tcW w:w="3971" w:type="dxa"/>
            <w:textDirection w:val="lrTb"/>
            <w:noWrap w:val="false"/>
          </w:tcPr>
          <w:p>
            <w:pPr>
              <w:jc w:val="both"/>
            </w:pPr>
            <w:r>
              <w:t xml:space="preserve">   тяжкие и особо тяжкие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71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46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47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41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30</w:t>
            </w:r>
            <w:r/>
          </w:p>
        </w:tc>
        <w:tc>
          <w:tcPr>
            <w:tcW w:w="146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42,3</w:t>
            </w:r>
            <w:r/>
          </w:p>
        </w:tc>
      </w:tr>
      <w:tr>
        <w:tblPrEx/>
        <w:trPr>
          <w:trHeight w:val="570"/>
        </w:trPr>
        <w:tc>
          <w:tcPr>
            <w:tcW w:w="3971" w:type="dxa"/>
            <w:textDirection w:val="lrTb"/>
            <w:noWrap w:val="false"/>
          </w:tcPr>
          <w:p>
            <w:pPr>
              <w:jc w:val="both"/>
            </w:pPr>
            <w:r>
              <w:t xml:space="preserve">Уровень преступности  (на 100000 человек населения)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979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937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918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93</w:t>
            </w:r>
            <w:r>
              <w:t xml:space="preserve">5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80</w:t>
            </w:r>
            <w:r>
              <w:t xml:space="preserve">8</w:t>
            </w:r>
            <w:r/>
          </w:p>
        </w:tc>
        <w:tc>
          <w:tcPr>
            <w:tcW w:w="146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82,5</w:t>
            </w:r>
            <w:r/>
          </w:p>
        </w:tc>
      </w:tr>
      <w:tr>
        <w:tblPrEx/>
        <w:trPr>
          <w:trHeight w:val="835"/>
        </w:trPr>
        <w:tc>
          <w:tcPr>
            <w:tcW w:w="3971" w:type="dxa"/>
            <w:textDirection w:val="lrTb"/>
            <w:noWrap w:val="false"/>
          </w:tcPr>
          <w:p>
            <w:pPr>
              <w:jc w:val="both"/>
              <w:rPr>
                <w:i/>
              </w:rPr>
            </w:pPr>
            <w:r>
              <w:rPr>
                <w:i/>
              </w:rPr>
              <w:t xml:space="preserve">Справочно</w:t>
            </w:r>
            <w:r>
              <w:rPr>
                <w:i/>
              </w:rPr>
              <w:t xml:space="preserve">:</w:t>
            </w: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both"/>
              <w:rPr>
                <w:i/>
              </w:rPr>
            </w:pPr>
            <w:r>
              <w:rPr>
                <w:i/>
              </w:rPr>
              <w:t xml:space="preserve">Уровень преступности  по области (на 100000 человек населения)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1397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1257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1308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1104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1039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1461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74,4</w:t>
            </w:r>
            <w:r>
              <w:rPr>
                <w:i/>
              </w:rPr>
            </w:r>
            <w:r>
              <w:rPr>
                <w:i/>
              </w:rPr>
            </w:r>
          </w:p>
        </w:tc>
      </w:tr>
      <w:tr>
        <w:tblPrEx/>
        <w:trPr>
          <w:trHeight w:val="550"/>
        </w:trPr>
        <w:tc>
          <w:tcPr>
            <w:tcW w:w="3971" w:type="dxa"/>
            <w:textDirection w:val="lrTb"/>
            <w:noWrap w:val="false"/>
          </w:tcPr>
          <w:p>
            <w:pPr>
              <w:jc w:val="both"/>
            </w:pPr>
            <w:r>
              <w:t xml:space="preserve">Коэффициент сравнения уровня преступности (МО/Область)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0,70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0,75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0,24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0,85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0,77</w:t>
            </w:r>
            <w:r/>
          </w:p>
        </w:tc>
        <w:tc>
          <w:tcPr>
            <w:tcW w:w="146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110,0</w:t>
            </w:r>
            <w:r/>
          </w:p>
        </w:tc>
      </w:tr>
      <w:tr>
        <w:tblPrEx/>
        <w:trPr>
          <w:trHeight w:val="835"/>
        </w:trPr>
        <w:tc>
          <w:tcPr>
            <w:tcW w:w="3971" w:type="dxa"/>
            <w:textDirection w:val="lrTb"/>
            <w:noWrap w:val="false"/>
          </w:tcPr>
          <w:p>
            <w:pPr>
              <w:jc w:val="both"/>
            </w:pPr>
            <w:r>
              <w:t xml:space="preserve">Коэффициент смертности от всех видов транспортных травм (на 100000 человек населения)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34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24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40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22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37</w:t>
            </w:r>
            <w:r/>
          </w:p>
        </w:tc>
        <w:tc>
          <w:tcPr>
            <w:tcW w:w="146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108,8</w:t>
            </w:r>
            <w:r/>
          </w:p>
        </w:tc>
      </w:tr>
      <w:tr>
        <w:tblPrEx/>
        <w:trPr>
          <w:trHeight w:val="1405"/>
        </w:trPr>
        <w:tc>
          <w:tcPr>
            <w:tcW w:w="3971" w:type="dxa"/>
            <w:textDirection w:val="lrTb"/>
            <w:noWrap w:val="false"/>
          </w:tcPr>
          <w:p>
            <w:pPr>
              <w:jc w:val="both"/>
              <w:rPr>
                <w:i/>
              </w:rPr>
            </w:pPr>
            <w:r>
              <w:rPr>
                <w:i/>
              </w:rPr>
              <w:t xml:space="preserve">Справочно</w:t>
            </w:r>
            <w:r>
              <w:rPr>
                <w:i/>
              </w:rPr>
              <w:t xml:space="preserve">:</w:t>
            </w: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both"/>
              <w:rPr>
                <w:i/>
              </w:rPr>
            </w:pPr>
            <w:r>
              <w:rPr>
                <w:i/>
              </w:rPr>
              <w:t xml:space="preserve">Коэффициент смертности от всех видов транспортных травм  по области (на 100000 человек населения)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26,7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23,8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20,1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16,4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18,8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1461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70,4</w:t>
            </w:r>
            <w:r>
              <w:rPr>
                <w:i/>
              </w:rPr>
            </w:r>
            <w:r>
              <w:rPr>
                <w:i/>
              </w:rPr>
            </w:r>
          </w:p>
        </w:tc>
      </w:tr>
      <w:tr>
        <w:tblPrEx/>
        <w:trPr>
          <w:trHeight w:val="835"/>
        </w:trPr>
        <w:tc>
          <w:tcPr>
            <w:tcW w:w="3971" w:type="dxa"/>
            <w:textDirection w:val="lrTb"/>
            <w:noWrap w:val="false"/>
          </w:tcPr>
          <w:p>
            <w:pPr>
              <w:jc w:val="both"/>
            </w:pPr>
            <w:r>
              <w:t xml:space="preserve">Коэффициент сравнения смертности от всех видов транспортных травм  (МО/Область)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1,27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1,01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1,99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1,34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1,96</w:t>
            </w:r>
            <w:r/>
          </w:p>
        </w:tc>
        <w:tc>
          <w:tcPr>
            <w:tcW w:w="146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в 1,5 раза</w:t>
            </w:r>
            <w:r/>
          </w:p>
        </w:tc>
      </w:tr>
      <w:tr>
        <w:tblPrEx/>
        <w:trPr>
          <w:trHeight w:val="835"/>
        </w:trPr>
        <w:tc>
          <w:tcPr>
            <w:tcW w:w="3971" w:type="dxa"/>
            <w:textDirection w:val="lrTb"/>
            <w:noWrap w:val="false"/>
          </w:tcPr>
          <w:p>
            <w:pPr>
              <w:jc w:val="both"/>
            </w:pPr>
            <w:r>
              <w:t xml:space="preserve">Число преступлений совершенных несовершеннолетними и при их соучастии (ед.)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32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16</w:t>
            </w:r>
            <w:r/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</w:t>
            </w:r>
            <w:r/>
          </w:p>
        </w:tc>
        <w:tc>
          <w:tcPr>
            <w:tcW w:w="146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46,9</w:t>
            </w:r>
            <w:r/>
          </w:p>
        </w:tc>
      </w:tr>
      <w:tr>
        <w:tblPrEx/>
        <w:trPr>
          <w:trHeight w:val="285"/>
        </w:trPr>
        <w:tc>
          <w:tcPr>
            <w:tcW w:w="3971" w:type="dxa"/>
            <w:textDirection w:val="lrTb"/>
            <w:noWrap w:val="false"/>
          </w:tcPr>
          <w:p>
            <w:pPr>
              <w:jc w:val="both"/>
              <w:rPr>
                <w:i/>
              </w:rPr>
            </w:pPr>
            <w:r>
              <w:rPr>
                <w:i/>
              </w:rPr>
              <w:t xml:space="preserve">Справочно</w:t>
            </w:r>
            <w:r>
              <w:rPr>
                <w:i/>
              </w:rPr>
              <w:t xml:space="preserve">:</w:t>
            </w: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both"/>
              <w:rPr>
                <w:i/>
              </w:rPr>
            </w:pPr>
            <w:r>
              <w:rPr>
                <w:i/>
              </w:rPr>
              <w:t xml:space="preserve">Число преступлений, совершенных несовершеннолетними и при их соучастии в области  (ед.)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861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656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452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371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878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366</w:t>
            </w:r>
            <w:r>
              <w:rPr>
                <w:i/>
              </w:rPr>
            </w:r>
            <w:r>
              <w:rPr>
                <w:i/>
              </w:rPr>
            </w:r>
          </w:p>
        </w:tc>
        <w:tc>
          <w:tcPr>
            <w:tcW w:w="1461" w:type="dxa"/>
            <w:vAlign w:val="center"/>
            <w:textDirection w:val="lrTb"/>
            <w:noWrap w:val="false"/>
          </w:tcPr>
          <w:p>
            <w:pPr>
              <w:jc w:val="center"/>
              <w:rPr>
                <w:i/>
              </w:rPr>
            </w:pPr>
            <w:r>
              <w:rPr>
                <w:i/>
              </w:rPr>
            </w:r>
            <w:r>
              <w:rPr>
                <w:i/>
              </w:rPr>
            </w:r>
            <w:r>
              <w:rPr>
                <w:i/>
              </w:rPr>
            </w:r>
          </w:p>
          <w:p>
            <w:pPr>
              <w:jc w:val="center"/>
              <w:rPr>
                <w:i/>
              </w:rPr>
            </w:pPr>
            <w:r>
              <w:rPr>
                <w:i/>
              </w:rPr>
              <w:t xml:space="preserve">42,5</w:t>
            </w:r>
            <w:r>
              <w:rPr>
                <w:i/>
              </w:rPr>
            </w:r>
            <w:r>
              <w:rPr>
                <w:i/>
              </w:rPr>
            </w:r>
          </w:p>
        </w:tc>
      </w:tr>
    </w:tbl>
    <w:p>
      <w:pPr>
        <w:ind w:firstLine="72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2011 году по сравнению с 2007 годом  наблюдалось снижение числа преступлений против личности на 10,3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, против собственности – на 14,2%, число тяжких и особо тяжких преступлений сократилось в 2,4 раза. Уровень преступности  в 2007 – 2011 годах ниже, чем в целом по области.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Ведущая роль в системе оперативно–профилактической работы принадлежи</w:t>
      </w:r>
      <w:r>
        <w:rPr>
          <w:sz w:val="28"/>
          <w:szCs w:val="28"/>
        </w:rPr>
        <w:t xml:space="preserve">т уча</w:t>
      </w:r>
      <w:r>
        <w:rPr>
          <w:sz w:val="28"/>
          <w:szCs w:val="28"/>
        </w:rPr>
        <w:t xml:space="preserve">стковым уполномоченным милиции. Городское и сельские населенные пункты обслуживают 12 участковых уполномоченных милиции. Основные направления их работы – выявление нарушений правил благоустройства, очагов самогоноварения, нарушений в семейно-бытовой среде.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 оперативная обстановка на территории муниципального образования стабильная и контролируемая, что дает возможность населению спокойно жить и работать.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муниципальном образовании проводится последовательная работа по реализации принятых ранее мер и выра</w:t>
      </w:r>
      <w:r>
        <w:rPr>
          <w:sz w:val="28"/>
          <w:szCs w:val="28"/>
        </w:rPr>
        <w:t xml:space="preserve">ботке новых подходов к вопросам защиты прав и законных интересов несовершеннолетних, профилактике их беспризорности и правонарушений. В итоге количество преступлений, совершенных несовершеннолетними в 2011 году по сравнению с 2007 годом уменьшилось на 53,1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2011 год было выявлено 10 неблагополучных семей, 12 подростков поставлены на учет в комиссии по делам несовершеннолетних. Всего </w:t>
      </w:r>
      <w:r>
        <w:rPr>
          <w:color w:val="000000"/>
          <w:sz w:val="28"/>
          <w:szCs w:val="28"/>
        </w:rPr>
        <w:t xml:space="preserve">комиссией по делам несовершеннолетних </w:t>
      </w:r>
      <w:r>
        <w:rPr>
          <w:color w:val="000000"/>
          <w:sz w:val="28"/>
          <w:szCs w:val="28"/>
        </w:rPr>
        <w:t xml:space="preserve">рассмотрено</w:t>
      </w:r>
      <w:r>
        <w:rPr>
          <w:color w:val="000000"/>
          <w:sz w:val="28"/>
          <w:szCs w:val="28"/>
        </w:rPr>
        <w:t xml:space="preserve"> 314 дел: из них 94 – на </w:t>
      </w:r>
      <w:r>
        <w:rPr>
          <w:color w:val="000000"/>
          <w:sz w:val="28"/>
          <w:szCs w:val="28"/>
        </w:rPr>
        <w:t xml:space="preserve">несовершеннолетних, 206 – на родителей</w:t>
      </w:r>
      <w:r>
        <w:rPr>
          <w:color w:val="000000"/>
          <w:sz w:val="28"/>
          <w:szCs w:val="28"/>
        </w:rPr>
        <w:t xml:space="preserve">, уклоняющихся от воспитания своих детей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Создание </w:t>
      </w:r>
      <w:r>
        <w:rPr>
          <w:color w:val="000000"/>
          <w:sz w:val="28"/>
          <w:szCs w:val="28"/>
        </w:rPr>
        <w:t xml:space="preserve"> системы профилактики безнадзорности и правонарушений несовершеннолетних в последние годы осуществлялось в рамках реализации районной целевой программы «Профилактика безнадзорности и правонарушений  несовершеннолетних и защита их прав на 2011-2014 годы».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настоящее время на профилактическом учете в РОВД за совершение пра</w:t>
      </w:r>
      <w:r>
        <w:rPr>
          <w:color w:val="000000"/>
          <w:sz w:val="28"/>
          <w:szCs w:val="28"/>
        </w:rPr>
        <w:t xml:space="preserve">вонарушений состоят 45 подростков</w:t>
      </w:r>
      <w:r>
        <w:rPr>
          <w:color w:val="000000"/>
          <w:sz w:val="28"/>
          <w:szCs w:val="28"/>
        </w:rPr>
        <w:t xml:space="preserve"> и 40 неблагопо</w:t>
      </w:r>
      <w:r>
        <w:rPr>
          <w:color w:val="000000"/>
          <w:sz w:val="28"/>
          <w:szCs w:val="28"/>
        </w:rPr>
        <w:t xml:space="preserve">лучных семей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муниципальном образовании разработана система взаимодействия всех субъектов профилактики безнадзорности, беспризорности и правонарушений несовершеннолетних. Дети, оказавшиеся в </w:t>
      </w:r>
      <w:r>
        <w:rPr>
          <w:color w:val="000000"/>
          <w:sz w:val="28"/>
          <w:szCs w:val="28"/>
        </w:rPr>
        <w:t xml:space="preserve">сложной жизненной</w:t>
      </w:r>
      <w:r>
        <w:rPr>
          <w:color w:val="000000"/>
          <w:sz w:val="28"/>
          <w:szCs w:val="28"/>
        </w:rPr>
        <w:t xml:space="preserve"> ситуации</w:t>
      </w:r>
      <w:r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изымаются из неблагополучных семей. Отработаны </w:t>
      </w:r>
      <w:r>
        <w:rPr>
          <w:color w:val="000000"/>
          <w:sz w:val="28"/>
          <w:szCs w:val="28"/>
        </w:rPr>
        <w:t xml:space="preserve">с</w:t>
      </w:r>
      <w:r>
        <w:rPr>
          <w:color w:val="000000"/>
          <w:sz w:val="28"/>
          <w:szCs w:val="28"/>
        </w:rPr>
        <w:t xml:space="preserve">ледующие варианты оказания им помощи: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numPr>
          <w:ilvl w:val="0"/>
          <w:numId w:val="1"/>
        </w:numPr>
        <w:ind w:left="0" w:firstLine="851"/>
        <w:jc w:val="both"/>
        <w:tabs>
          <w:tab w:val="num" w:pos="0" w:leader="none"/>
          <w:tab w:val="clear" w:pos="108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передача под опеку. С</w:t>
      </w:r>
      <w:r>
        <w:rPr>
          <w:color w:val="000000"/>
          <w:sz w:val="28"/>
          <w:szCs w:val="28"/>
        </w:rPr>
        <w:t xml:space="preserve">егодня под опекой находятся                                      46 несовершеннолетних, из них 39 – дети, оставшиеся без родительского попечения и получают пособие, в том числе 15 детей-сирот;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numPr>
          <w:ilvl w:val="0"/>
          <w:numId w:val="1"/>
        </w:numPr>
        <w:ind w:left="0" w:right="-143" w:firstLine="851"/>
        <w:jc w:val="both"/>
        <w:tabs>
          <w:tab w:val="num" w:pos="0" w:leader="none"/>
          <w:tab w:val="clear" w:pos="108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передача на усыно</w:t>
      </w:r>
      <w:r>
        <w:rPr>
          <w:color w:val="000000"/>
          <w:sz w:val="28"/>
          <w:szCs w:val="28"/>
        </w:rPr>
        <w:t xml:space="preserve">вление.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</w:t>
      </w:r>
      <w:r>
        <w:rPr>
          <w:color w:val="000000"/>
          <w:sz w:val="28"/>
          <w:szCs w:val="28"/>
        </w:rPr>
        <w:t xml:space="preserve">сего в районе 47 усыновленных</w:t>
      </w:r>
      <w:r>
        <w:rPr>
          <w:color w:val="000000"/>
          <w:sz w:val="28"/>
          <w:szCs w:val="28"/>
        </w:rPr>
        <w:t xml:space="preserve"> детей;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numPr>
          <w:ilvl w:val="0"/>
          <w:numId w:val="1"/>
        </w:numPr>
        <w:ind w:left="0" w:firstLine="851"/>
        <w:jc w:val="both"/>
        <w:tabs>
          <w:tab w:val="num" w:pos="0" w:leader="none"/>
          <w:tab w:val="clear" w:pos="108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направлен в Дом ребенка по заявлению родителей 1 ребен</w:t>
      </w:r>
      <w:r>
        <w:rPr>
          <w:color w:val="000000"/>
          <w:sz w:val="28"/>
          <w:szCs w:val="28"/>
        </w:rPr>
        <w:t xml:space="preserve">ок</w:t>
      </w:r>
      <w:r>
        <w:rPr>
          <w:color w:val="000000"/>
          <w:sz w:val="28"/>
          <w:szCs w:val="28"/>
        </w:rPr>
        <w:t xml:space="preserve">;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numPr>
          <w:ilvl w:val="0"/>
          <w:numId w:val="1"/>
        </w:numPr>
        <w:ind w:left="0" w:firstLine="851"/>
        <w:jc w:val="both"/>
        <w:tabs>
          <w:tab w:val="num" w:pos="0" w:leader="none"/>
          <w:tab w:val="clear" w:pos="1080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функционируют </w:t>
      </w:r>
      <w:r>
        <w:rPr>
          <w:color w:val="000000"/>
          <w:sz w:val="28"/>
          <w:szCs w:val="28"/>
        </w:rPr>
        <w:t xml:space="preserve">5</w:t>
      </w:r>
      <w:r>
        <w:rPr>
          <w:color w:val="000000"/>
          <w:sz w:val="28"/>
          <w:szCs w:val="28"/>
        </w:rPr>
        <w:t xml:space="preserve"> приемных семей, где воспитывают 16 детей.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0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/>
      <w:bookmarkStart w:id="1" w:name="_Toc169675331"/>
      <w:r/>
      <w:bookmarkStart w:id="2" w:name="_Toc178505706"/>
      <w:r>
        <w:rPr>
          <w:rFonts w:ascii="Times New Roman" w:hAnsi="Times New Roman" w:cs="Times New Roman"/>
          <w:color w:val="000000"/>
          <w:sz w:val="28"/>
          <w:szCs w:val="28"/>
        </w:rPr>
        <w:t xml:space="preserve">1.2.13. Социальная инфраструктура </w:t>
      </w:r>
      <w:bookmarkEnd w:id="1"/>
      <w:r/>
      <w:bookmarkEnd w:id="2"/>
      <w:r>
        <w:rPr>
          <w:rFonts w:ascii="Times New Roman" w:hAnsi="Times New Roman" w:cs="Times New Roman"/>
          <w:color w:val="000000"/>
          <w:sz w:val="28"/>
          <w:szCs w:val="28"/>
        </w:rPr>
        <w:t xml:space="preserve">населенных пунктов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r/>
      <w:r/>
    </w:p>
    <w:p>
      <w:pPr>
        <w:ind w:firstLine="709"/>
        <w:jc w:val="both"/>
        <w:shd w:val="clear" w:color="auto" w:fill="ffffff"/>
        <w:tabs>
          <w:tab w:val="left" w:pos="5595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Обеспечение современных условий жизни в сельской местности  невозможно без основных элементов социальной инфраструктуры – школы, детского дошкольног</w:t>
      </w:r>
      <w:r>
        <w:rPr>
          <w:color w:val="000000"/>
          <w:sz w:val="28"/>
          <w:szCs w:val="28"/>
        </w:rPr>
        <w:t xml:space="preserve">о учреждения, клуба, возможности</w:t>
      </w:r>
      <w:r>
        <w:rPr>
          <w:color w:val="000000"/>
          <w:sz w:val="28"/>
          <w:szCs w:val="28"/>
        </w:rPr>
        <w:t xml:space="preserve"> получить первую медицинскую помощь, воспользоваться бытовыми услугами и современной связью.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9"/>
        <w:jc w:val="both"/>
        <w:shd w:val="clear" w:color="auto" w:fill="ffffff"/>
        <w:tabs>
          <w:tab w:val="left" w:pos="5595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Практически все населенные пункты муниципального образования имеют необходимые элементы современного социального кластера.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shd w:val="clear" w:color="auto" w:fill="ffffff"/>
        <w:tabs>
          <w:tab w:val="left" w:pos="5595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</w:t>
      </w:r>
      <w:r>
        <w:rPr>
          <w:color w:val="000000"/>
          <w:sz w:val="28"/>
          <w:szCs w:val="28"/>
        </w:rPr>
        <w:t xml:space="preserve">се территории обеспечены элементами современного социального кластера: зданиями администраци</w:t>
      </w:r>
      <w:r>
        <w:rPr>
          <w:color w:val="000000"/>
          <w:sz w:val="28"/>
          <w:szCs w:val="28"/>
        </w:rPr>
        <w:t xml:space="preserve">й</w:t>
      </w:r>
      <w:r>
        <w:rPr>
          <w:color w:val="000000"/>
          <w:sz w:val="28"/>
          <w:szCs w:val="28"/>
        </w:rPr>
        <w:t xml:space="preserve"> поселени</w:t>
      </w:r>
      <w:r>
        <w:rPr>
          <w:color w:val="000000"/>
          <w:sz w:val="28"/>
          <w:szCs w:val="28"/>
        </w:rPr>
        <w:t xml:space="preserve">й</w:t>
      </w:r>
      <w:r>
        <w:rPr>
          <w:color w:val="000000"/>
          <w:sz w:val="28"/>
          <w:szCs w:val="28"/>
        </w:rPr>
        <w:t xml:space="preserve">, школами, </w:t>
      </w:r>
      <w:r>
        <w:rPr>
          <w:color w:val="000000"/>
          <w:sz w:val="28"/>
          <w:szCs w:val="28"/>
        </w:rPr>
        <w:t xml:space="preserve"> дошкольными учреждениями, </w:t>
      </w:r>
      <w:r>
        <w:rPr>
          <w:color w:val="000000"/>
          <w:sz w:val="28"/>
          <w:szCs w:val="28"/>
        </w:rPr>
        <w:t xml:space="preserve">магазинами, досуговыми учреждениями.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shd w:val="clear" w:color="auto" w:fill="ffffff"/>
        <w:tabs>
          <w:tab w:val="left" w:pos="5595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каждом сельском поселении есть универсальные магазины, работу которых обеспечивают районное потребительское общество, а также индивидуальные предприниматели.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9"/>
        <w:jc w:val="both"/>
        <w:shd w:val="clear" w:color="auto" w:fill="ffffff"/>
        <w:tabs>
          <w:tab w:val="left" w:pos="5595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работы участковых милиционеров, обеспечивающих общественный порядок,  в каждом поселении созданы необходимые условия. 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9"/>
        <w:jc w:val="both"/>
        <w:shd w:val="clear" w:color="auto" w:fill="ffffff"/>
        <w:tabs>
          <w:tab w:val="left" w:pos="5595" w:leader="none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Вместе с тем, отсутствуют кабинеты участкового врача в </w:t>
      </w:r>
      <w:r>
        <w:rPr>
          <w:color w:val="000000"/>
          <w:sz w:val="28"/>
          <w:szCs w:val="28"/>
        </w:rPr>
        <w:t xml:space="preserve">Адреевском</w:t>
      </w:r>
      <w:r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Лозновском</w:t>
      </w:r>
      <w:r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Новореченском</w:t>
      </w:r>
      <w:r>
        <w:rPr>
          <w:color w:val="000000"/>
          <w:sz w:val="28"/>
          <w:szCs w:val="28"/>
        </w:rPr>
        <w:t xml:space="preserve"> сельских поселениях.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 w:clear="all"/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09"/>
        <w:shd w:val="clear" w:color="auto" w:fill="ffffff"/>
        <w:tabs>
          <w:tab w:val="left" w:pos="5595" w:leader="none"/>
        </w:tabs>
        <w:rPr>
          <w:color w:val="ff0000"/>
          <w:sz w:val="28"/>
          <w:szCs w:val="28"/>
        </w:rPr>
        <w:sectPr>
          <w:headerReference w:type="default" r:id="rId9"/>
          <w:headerReference w:type="even" r:id="rId10"/>
          <w:headerReference w:type="first" r:id="rId11"/>
          <w:footerReference w:type="default" r:id="rId15"/>
          <w:footerReference w:type="even" r:id="rId16"/>
          <w:footerReference w:type="first" r:id="rId17"/>
          <w:footnotePr/>
          <w:endnotePr/>
          <w:type w:val="nextPage"/>
          <w:pgSz w:w="11906" w:h="16838" w:orient="portrait"/>
          <w:pgMar w:top="1134" w:right="850" w:bottom="1134" w:left="1701" w:header="397" w:footer="0" w:gutter="0"/>
          <w:pgNumType w:start="1"/>
          <w:cols w:num="1" w:sep="0" w:space="708" w:equalWidth="1"/>
          <w:docGrid w:linePitch="360"/>
          <w:titlePg/>
        </w:sect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1328"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2</w:t>
      </w:r>
      <w:r>
        <w:rPr>
          <w:i/>
          <w:color w:val="000000"/>
          <w:sz w:val="28"/>
          <w:szCs w:val="28"/>
        </w:rPr>
        <w:t xml:space="preserve">8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jc w:val="center"/>
        <w:tabs>
          <w:tab w:val="left" w:pos="5691" w:leader="none"/>
        </w:tabs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Обеспеченность поселений МО «Чернянский район» основными </w:t>
      </w:r>
      <w:r>
        <w:rPr>
          <w:b/>
          <w:bCs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</w:p>
    <w:p>
      <w:pPr>
        <w:jc w:val="center"/>
        <w:tabs>
          <w:tab w:val="left" w:pos="5691" w:leader="none"/>
        </w:tabs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элементами социальной инфраструктуры в 2011 году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</w:r>
      <w:r>
        <w:rPr>
          <w:i/>
          <w:color w:val="ff0000"/>
          <w:sz w:val="28"/>
          <w:szCs w:val="28"/>
        </w:rPr>
      </w:r>
      <w:r>
        <w:rPr>
          <w:i/>
          <w:color w:val="ff0000"/>
          <w:sz w:val="28"/>
          <w:szCs w:val="28"/>
        </w:rPr>
      </w:r>
    </w:p>
    <w:tbl>
      <w:tblPr>
        <w:tblW w:w="148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062"/>
        <w:gridCol w:w="918"/>
        <w:gridCol w:w="1080"/>
        <w:gridCol w:w="1620"/>
        <w:gridCol w:w="900"/>
        <w:gridCol w:w="900"/>
        <w:gridCol w:w="720"/>
        <w:gridCol w:w="720"/>
        <w:gridCol w:w="1080"/>
        <w:gridCol w:w="1620"/>
      </w:tblGrid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Административное здание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Школа / спортзал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Дошкольное учреждение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Кабинет участкового врача / ФАП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Магазин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Досуговое учреждение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Баня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Храм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ind w:right="5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Кладбище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Помещение для участкового уполномоченного милиции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Городское поселение «Поселок «Чернянка»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Андреевское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Большанское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Волоконовское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Волотовское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Ездоченское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Кочегуренское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Лозновское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Лубянское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Малотроицкое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Новореченское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Огибнянское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Ольшанское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Орликовское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Прилепенское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Русскохаланское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6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1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+/+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7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+</w:t>
            </w:r>
            <w:r>
              <w:rPr>
                <w:color w:val="000000"/>
                <w:sz w:val="18"/>
                <w:szCs w:val="18"/>
              </w:rPr>
            </w:r>
            <w:r>
              <w:rPr>
                <w:color w:val="000000"/>
                <w:sz w:val="18"/>
                <w:szCs w:val="18"/>
              </w:rPr>
            </w:r>
          </w:p>
        </w:tc>
      </w:tr>
    </w:tbl>
    <w:p>
      <w:pPr>
        <w:rPr>
          <w:sz w:val="28"/>
          <w:szCs w:val="28"/>
        </w:rPr>
        <w:sectPr>
          <w:headerReference w:type="first" r:id="rId12"/>
          <w:footnotePr/>
          <w:endnotePr/>
          <w:type w:val="nextPage"/>
          <w:pgSz w:w="16838" w:h="11906" w:orient="landscape"/>
          <w:pgMar w:top="1701" w:right="1134" w:bottom="851" w:left="1134" w:header="397" w:footer="0" w:gutter="0"/>
          <w:cols w:num="1" w:sep="0" w:space="708" w:equalWidth="1"/>
          <w:docGrid w:linePitch="360"/>
          <w:titlePg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1.2.1</w:t>
      </w:r>
      <w:r>
        <w:rPr>
          <w:b/>
          <w:color w:val="000000"/>
          <w:sz w:val="28"/>
          <w:szCs w:val="28"/>
        </w:rPr>
        <w:t xml:space="preserve">4</w:t>
      </w:r>
      <w:r>
        <w:rPr>
          <w:b/>
          <w:color w:val="000000"/>
          <w:sz w:val="28"/>
          <w:szCs w:val="28"/>
        </w:rPr>
        <w:t xml:space="preserve">. Состояние окружающей среды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муниципальном образовании имеются крупные промышленные предприятия, более 10000 автомототранспортных средств, являющихся основными стационарными и передвижными источниками загрязнения окружающей среды.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Основными загрязнителями реки Оскол являются промышленные и сельскохозяйственные предприятия, коммунальные службы поселка.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29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Основные показатели состояния окружающей среды </w:t>
      </w:r>
      <w:r>
        <w:rPr>
          <w:b/>
          <w:color w:val="000000"/>
          <w:sz w:val="28"/>
          <w:szCs w:val="28"/>
        </w:rPr>
        <w:t xml:space="preserve">в МО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955"/>
        <w:gridCol w:w="956"/>
        <w:gridCol w:w="956"/>
        <w:gridCol w:w="956"/>
        <w:gridCol w:w="848"/>
      </w:tblGrid>
      <w:tr>
        <w:tblPrEx/>
        <w:trPr>
          <w:tblHeader/>
        </w:trPr>
        <w:tc>
          <w:tcPr>
            <w:tcW w:w="4968" w:type="dxa"/>
            <w:vAlign w:val="center"/>
            <w:textDirection w:val="lrTb"/>
            <w:noWrap w:val="false"/>
          </w:tcPr>
          <w:p>
            <w:pPr>
              <w:ind w:left="-108" w:firstLine="108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Показатели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2007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2008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2009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2010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Borders>
              <w:bottom w:val="single" w:color="auto" w:sz="4" w:space="0"/>
            </w:tcBorders>
            <w:tcW w:w="84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2011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000000"/>
              </w:rPr>
              <w:t xml:space="preserve">год</w:t>
            </w:r>
            <w:r>
              <w:rPr>
                <w:b/>
                <w:color w:val="ff0000"/>
              </w:rPr>
            </w:r>
            <w:r>
              <w:rPr>
                <w:b/>
                <w:color w:val="ff0000"/>
              </w:rPr>
            </w:r>
          </w:p>
        </w:tc>
      </w:tr>
      <w:tr>
        <w:tblPrEx/>
        <w:trPr/>
        <w:tc>
          <w:tcPr>
            <w:shd w:val="clear" w:color="auto" w:fill="auto"/>
            <w:tcW w:w="496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Выбросы загрязняющих веществ, отходящих от стационарных источников загрязнения атмосферного воздуха (</w:t>
            </w:r>
            <w:r>
              <w:rPr>
                <w:color w:val="000000"/>
              </w:rPr>
              <w:t xml:space="preserve">тыс.</w:t>
            </w:r>
            <w:r>
              <w:rPr>
                <w:color w:val="000000"/>
              </w:rPr>
              <w:t xml:space="preserve"> тонн) 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0,17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9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0,17</w:t>
            </w:r>
            <w:r/>
          </w:p>
        </w:tc>
        <w:tc>
          <w:tcPr>
            <w:shd w:val="clear" w:color="auto" w:fill="auto"/>
            <w:tcW w:w="9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0,78</w:t>
            </w:r>
            <w:r/>
          </w:p>
        </w:tc>
        <w:tc>
          <w:tcPr>
            <w:shd w:val="clear" w:color="auto" w:fill="auto"/>
            <w:tcW w:w="84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0,28</w:t>
            </w:r>
            <w:r/>
          </w:p>
        </w:tc>
      </w:tr>
      <w:tr>
        <w:tblPrEx/>
        <w:trPr/>
        <w:tc>
          <w:tcPr>
            <w:shd w:val="clear" w:color="auto" w:fill="auto"/>
            <w:tcW w:w="496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Темп роста к предыдущему году (%)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103,9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21,3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9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100,0</w:t>
            </w:r>
            <w:r/>
          </w:p>
        </w:tc>
        <w:tc>
          <w:tcPr>
            <w:shd w:val="clear" w:color="auto" w:fill="auto"/>
            <w:tcW w:w="9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в 4,6р.</w:t>
            </w:r>
            <w:r/>
          </w:p>
        </w:tc>
        <w:tc>
          <w:tcPr>
            <w:shd w:val="clear" w:color="auto" w:fill="auto"/>
            <w:tcW w:w="84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35,9</w:t>
            </w:r>
            <w:r/>
          </w:p>
        </w:tc>
      </w:tr>
      <w:tr>
        <w:tblPrEx/>
        <w:trPr/>
        <w:tc>
          <w:tcPr>
            <w:shd w:val="clear" w:color="auto" w:fill="auto"/>
            <w:tcW w:w="496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Улавливание загрязняющих веществ, отходящих от стационарных источников загрязнения атмосферного воздуха (</w:t>
            </w:r>
            <w:r>
              <w:rPr>
                <w:color w:val="000000"/>
              </w:rPr>
              <w:t xml:space="preserve">тыс.</w:t>
            </w:r>
            <w:r>
              <w:rPr>
                <w:color w:val="000000"/>
              </w:rPr>
              <w:t xml:space="preserve"> тонн)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1,33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9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0,55</w:t>
            </w:r>
            <w:r/>
          </w:p>
        </w:tc>
        <w:tc>
          <w:tcPr>
            <w:shd w:val="clear" w:color="auto" w:fill="auto"/>
            <w:tcW w:w="9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0,55</w:t>
            </w:r>
            <w:r/>
          </w:p>
        </w:tc>
        <w:tc>
          <w:tcPr>
            <w:shd w:val="clear" w:color="auto" w:fill="auto"/>
            <w:tcW w:w="84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0,55</w:t>
            </w:r>
            <w:r/>
          </w:p>
        </w:tc>
      </w:tr>
      <w:tr>
        <w:tblPrEx/>
        <w:trPr/>
        <w:tc>
          <w:tcPr>
            <w:shd w:val="clear" w:color="auto" w:fill="auto"/>
            <w:tcW w:w="496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Темп роста к предыдущему году (%)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101,5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60,2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9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68,8</w:t>
            </w:r>
            <w:r/>
          </w:p>
        </w:tc>
        <w:tc>
          <w:tcPr>
            <w:shd w:val="clear" w:color="auto" w:fill="auto"/>
            <w:tcW w:w="9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100,0</w:t>
            </w:r>
            <w:r/>
          </w:p>
        </w:tc>
        <w:tc>
          <w:tcPr>
            <w:shd w:val="clear" w:color="auto" w:fill="auto"/>
            <w:tcW w:w="84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100,0</w:t>
            </w:r>
            <w:r/>
          </w:p>
        </w:tc>
      </w:tr>
      <w:tr>
        <w:tblPrEx/>
        <w:trPr/>
        <w:tc>
          <w:tcPr>
            <w:tcW w:w="496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Использование свежей воды (млн. м3)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4,25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2,67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1,55</w:t>
            </w:r>
            <w:r/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1,61</w:t>
            </w:r>
            <w:r/>
          </w:p>
        </w:tc>
        <w:tc>
          <w:tcPr>
            <w:shd w:val="clear" w:color="auto" w:fill="auto"/>
            <w:tcW w:w="84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1,93</w:t>
            </w:r>
            <w:r/>
          </w:p>
        </w:tc>
      </w:tr>
      <w:tr>
        <w:tblPrEx/>
        <w:trPr/>
        <w:tc>
          <w:tcPr>
            <w:tcW w:w="496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Темп роста к предыдущему году (%)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141,7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62,8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58,1</w:t>
            </w:r>
            <w:r/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103,9</w:t>
            </w:r>
            <w:r/>
          </w:p>
        </w:tc>
        <w:tc>
          <w:tcPr>
            <w:shd w:val="clear" w:color="auto" w:fill="auto"/>
            <w:tcW w:w="84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119,9</w:t>
            </w:r>
            <w:r/>
          </w:p>
        </w:tc>
      </w:tr>
      <w:tr>
        <w:tblPrEx/>
        <w:trPr/>
        <w:tc>
          <w:tcPr>
            <w:tcW w:w="496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Инвестиции в основной капитал, направленные на охрану окружающей среды и рациональное использование природных ресурсов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(</w:t>
            </w:r>
            <w:r>
              <w:rPr>
                <w:color w:val="000000"/>
              </w:rPr>
              <w:t xml:space="preserve">млн</w:t>
            </w:r>
            <w:r>
              <w:rPr>
                <w:color w:val="000000"/>
              </w:rPr>
              <w:t xml:space="preserve">.</w:t>
            </w:r>
            <w:r>
              <w:rPr>
                <w:color w:val="000000"/>
              </w:rPr>
              <w:t xml:space="preserve"> руб.</w:t>
            </w:r>
            <w:r>
              <w:rPr>
                <w:color w:val="000000"/>
              </w:rPr>
              <w:t xml:space="preserve">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0,85</w:t>
            </w:r>
            <w:r/>
          </w:p>
        </w:tc>
        <w:tc>
          <w:tcPr>
            <w:tcW w:w="84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</w:tr>
      <w:tr>
        <w:tblPrEx/>
        <w:trPr/>
        <w:tc>
          <w:tcPr>
            <w:tcW w:w="496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Темп роста к предыдущему году (%)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84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</w:tr>
      <w:tr>
        <w:tblPrEx/>
        <w:trPr/>
        <w:tc>
          <w:tcPr>
            <w:tcW w:w="496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Количество предприятий и полигонов по утилизации, обезвреживанию и захоронению токсичных промышленных, бытовых и других отходов, ед.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33,5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4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96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Темп роста к предыдущему году (%)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209,4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104,5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4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96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Удельный вес системы контейнерного сбора в вывозе ТБО (%)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4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496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Темп роста к предыдущему году (%)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108,0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51,9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5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157,1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4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145,5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</w:tbl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уменьшения значений удельных выбросов предприятий ведется повседневная работа по решению задач снижения негативного воздействия производств на окружающую среду. Используются такие методы, как обустрой</w:t>
      </w:r>
      <w:r>
        <w:rPr>
          <w:color w:val="000000"/>
          <w:sz w:val="28"/>
          <w:szCs w:val="28"/>
        </w:rPr>
        <w:t xml:space="preserve">ство санитарных зон предприятий</w:t>
      </w:r>
      <w:r>
        <w:rPr>
          <w:color w:val="000000"/>
          <w:sz w:val="28"/>
          <w:szCs w:val="28"/>
        </w:rPr>
        <w:t xml:space="preserve">, сокращение неорганизованных выбросов, обеспечение условий эффективной очистки и обезвреживания вредных веществ отходящих газов, усиление контроля за работой контрольно-измерительных приборов и автоматических систем управления технологическими процессами.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снижения неблагоприятного возде</w:t>
      </w:r>
      <w:r>
        <w:rPr>
          <w:color w:val="000000"/>
          <w:sz w:val="28"/>
          <w:szCs w:val="28"/>
        </w:rPr>
        <w:t xml:space="preserve">йствия автотранспорта ежегодно проводится экологическая операция «Чистый воздух», «Дни без автомобиля», осуществляются плановые контрольные рейды, в которых задействованы работники соответствующих контролирующих организаций  и представители общественности.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анализируемом периоде наблюдалось снижение объема выбросов загрязняющих веществ, отходящих от стационарных источников загрязнения атмосферного воздуха на 64,1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, что свидетельствует о достаточности существующих мощностей, используемых для улавливания загрязняющих веществ, отходящих от стационарных источников загрязнения атмосферного воздуха, и снижении степени загрязнения окружающей среды. </w:t>
      </w:r>
      <w:r>
        <w:rPr>
          <w:sz w:val="28"/>
          <w:szCs w:val="28"/>
        </w:rPr>
        <w:t xml:space="preserve">Однако в районе существует проблема недостаточного количества очистных сооружений. </w:t>
      </w:r>
      <w:r>
        <w:rPr>
          <w:sz w:val="28"/>
          <w:szCs w:val="28"/>
        </w:rPr>
        <w:t xml:space="preserve">Использование свежей воды увеличилось на 19,9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 в связи с введением новых объектов социальной сферы. В 2011 году инвестиций в основной капитал, направленных на охрану окружающей среды и рациональное использование природных ресурсов не было.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righ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30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Полигоны твердых бытовых отходов </w:t>
      </w:r>
      <w:r>
        <w:rPr>
          <w:b/>
          <w:color w:val="000000"/>
          <w:sz w:val="28"/>
          <w:szCs w:val="28"/>
        </w:rPr>
        <w:t xml:space="preserve">в МО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7308"/>
        <w:gridCol w:w="2331"/>
      </w:tblGrid>
      <w:tr>
        <w:tblPrEx/>
        <w:trPr>
          <w:tblHeader/>
        </w:trPr>
        <w:tc>
          <w:tcPr>
            <w:tcW w:w="7308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Наименование поселений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2331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2011 год,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га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Городское поселение «Поселок Чернянка»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33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Андреевское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33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Большанское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33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Ездоченское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33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Кочегуренское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33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Лозновское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33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Лубянское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33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Новореченское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33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Огибнянское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33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Ольшанское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33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Орликовское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33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Прилепенское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33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Русскохаланское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33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0,6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Волоконовское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33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Волотовское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331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Малотроицкое</w:t>
            </w:r>
            <w:r>
              <w:rPr>
                <w:color w:val="000000"/>
              </w:rPr>
              <w:t xml:space="preserve"> сельское поселение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2331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/>
        <w:tc>
          <w:tcPr>
            <w:tcW w:w="7308" w:type="dxa"/>
            <w:textDirection w:val="lrTb"/>
            <w:noWrap w:val="false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Всего по району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2331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37,4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</w:tbl>
    <w:p>
      <w:pPr>
        <w:ind w:firstLine="708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Общая площадь свалок – </w:t>
      </w:r>
      <w:r>
        <w:rPr>
          <w:color w:val="000000"/>
          <w:sz w:val="28"/>
          <w:szCs w:val="28"/>
        </w:rPr>
        <w:t xml:space="preserve">37,4 га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Количество утилизируемых твердых бытовых отходов за 2011 год составило 72,6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тонн, в том числе в городском поселении – 43,6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тонн.  С</w:t>
      </w:r>
      <w:r>
        <w:rPr>
          <w:color w:val="000000"/>
          <w:sz w:val="28"/>
          <w:szCs w:val="28"/>
        </w:rPr>
        <w:t xml:space="preserve">уществует недостаток </w:t>
      </w:r>
      <w:r>
        <w:rPr>
          <w:sz w:val="28"/>
          <w:szCs w:val="28"/>
        </w:rPr>
        <w:t xml:space="preserve">контейнеров для сбора</w:t>
      </w:r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спецмашин </w:t>
      </w:r>
      <w:r>
        <w:rPr>
          <w:sz w:val="28"/>
          <w:szCs w:val="28"/>
        </w:rPr>
        <w:t xml:space="preserve">для</w:t>
      </w:r>
      <w:r>
        <w:rPr>
          <w:sz w:val="28"/>
          <w:szCs w:val="28"/>
        </w:rPr>
        <w:t xml:space="preserve"> вывоза твердых бытовых отходов</w:t>
      </w:r>
      <w:r>
        <w:rPr>
          <w:sz w:val="28"/>
          <w:szCs w:val="28"/>
        </w:rPr>
        <w:t xml:space="preserve">. Кроме того,  нет </w:t>
      </w:r>
      <w:r>
        <w:rPr>
          <w:sz w:val="28"/>
          <w:szCs w:val="28"/>
        </w:rPr>
        <w:t xml:space="preserve">предприятий по утилизации твердых бытовых отходов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1.2.1</w:t>
      </w:r>
      <w:r>
        <w:rPr>
          <w:b/>
          <w:color w:val="000000"/>
          <w:sz w:val="28"/>
          <w:szCs w:val="28"/>
        </w:rPr>
        <w:t xml:space="preserve">5</w:t>
      </w:r>
      <w:r>
        <w:rPr>
          <w:b/>
          <w:color w:val="000000"/>
          <w:sz w:val="28"/>
          <w:szCs w:val="28"/>
        </w:rPr>
        <w:t xml:space="preserve">. Общественно-политическая жизнь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территории муниципального образования осуществляют свою деятельность местные отделения т</w:t>
      </w:r>
      <w:r>
        <w:rPr>
          <w:color w:val="000000"/>
          <w:sz w:val="28"/>
          <w:szCs w:val="28"/>
        </w:rPr>
        <w:t xml:space="preserve">рех политических партий: «Единая</w:t>
      </w:r>
      <w:r>
        <w:rPr>
          <w:color w:val="000000"/>
          <w:sz w:val="28"/>
          <w:szCs w:val="28"/>
        </w:rPr>
        <w:t xml:space="preserve"> Росси</w:t>
      </w:r>
      <w:r>
        <w:rPr>
          <w:color w:val="000000"/>
          <w:sz w:val="28"/>
          <w:szCs w:val="28"/>
        </w:rPr>
        <w:t xml:space="preserve">я</w:t>
      </w:r>
      <w:r>
        <w:rPr>
          <w:color w:val="000000"/>
          <w:sz w:val="28"/>
          <w:szCs w:val="28"/>
        </w:rPr>
        <w:t xml:space="preserve">», КПРФ, ЛДПР, «Справедливая Россия» и  12 местных отделений общественных организаций, активная деятельность которых в значительной степени формирует общественно-политическую ситуацию и сознание граждан.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современных условиях политические партии, общественные организации являются системной частью обще</w:t>
      </w:r>
      <w:r>
        <w:rPr>
          <w:color w:val="000000"/>
          <w:sz w:val="28"/>
          <w:szCs w:val="28"/>
        </w:rPr>
        <w:t xml:space="preserve">ственно-политической структуры общества. Являясь непосредственными медиаторами между органами местного самоуправления и сложившимся обществом, они оказывают определенное воздействие на общественное мнение, выступая катализаторами и проводниками социальных </w:t>
      </w:r>
      <w:r>
        <w:rPr>
          <w:color w:val="000000"/>
          <w:sz w:val="28"/>
          <w:szCs w:val="28"/>
        </w:rPr>
        <w:t xml:space="preserve">процессов. В полной мере партии и общественные организации реализуют себя в период избирательных кампаний, принятия и претворения в жизнь непопулярных государственных законодательных актов, затрагивающих интересы большинства населения. Взаимодействие между</w:t>
      </w:r>
      <w:r>
        <w:rPr>
          <w:color w:val="000000"/>
          <w:sz w:val="28"/>
          <w:szCs w:val="28"/>
        </w:rPr>
        <w:t xml:space="preserve"> администрацией МО и общественными объединениями способствует формированию гражданского мира и согласия, снижению социальной напряженности, обеспечению общественного правопорядка, недопущению социальной напряженности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Общественные организации, такие как районный Совет ветеранов, труда, вооруженных сил и правоохранительных органов, рай</w:t>
      </w:r>
      <w:r>
        <w:rPr>
          <w:color w:val="000000"/>
          <w:sz w:val="28"/>
          <w:szCs w:val="28"/>
        </w:rPr>
        <w:t xml:space="preserve">онное отделение Всероссийского общества инвалидов, профсоюзные организации и другие, занимаются решением вопросов жизнеобеспечения членов своих организаций, защитой их прав, законных интересов, осуществляемых в соответствии с действующим законодательством.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муниципальном образовании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действуют несколько религиозных о</w:t>
      </w:r>
      <w:r>
        <w:rPr>
          <w:color w:val="000000"/>
          <w:sz w:val="28"/>
          <w:szCs w:val="28"/>
        </w:rPr>
        <w:t xml:space="preserve">бъединений, что определяет свободу вероисповедания жителей. Однако стержневой религией является православие, которое в последние 10 лет вернулось в жизнь современного общества и активно пропагандирует традиционные ценности и этические нормы. На территории </w:t>
      </w:r>
      <w:r>
        <w:rPr>
          <w:color w:val="000000"/>
          <w:sz w:val="28"/>
          <w:szCs w:val="28"/>
        </w:rPr>
        <w:t xml:space="preserve">Ездоченского</w:t>
      </w:r>
      <w:r>
        <w:rPr>
          <w:color w:val="000000"/>
          <w:sz w:val="28"/>
          <w:szCs w:val="28"/>
        </w:rPr>
        <w:t xml:space="preserve"> сельского поселения в с. Холки расположен </w:t>
      </w:r>
      <w:r>
        <w:rPr>
          <w:color w:val="000000"/>
          <w:sz w:val="28"/>
          <w:szCs w:val="28"/>
        </w:rPr>
        <w:t xml:space="preserve">Холковский</w:t>
      </w:r>
      <w:r>
        <w:rPr>
          <w:color w:val="000000"/>
          <w:sz w:val="28"/>
          <w:szCs w:val="28"/>
        </w:rPr>
        <w:t xml:space="preserve"> Свято-Троицкий мужской монастырь, привлекающий паломников и верующих со всей европейской части России.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Разнообразен также и этнический состав – русские, украинцы, турки, молдаване, армяне и другие.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567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1.2.1</w:t>
      </w:r>
      <w:r>
        <w:rPr>
          <w:b/>
          <w:color w:val="000000"/>
          <w:sz w:val="28"/>
          <w:szCs w:val="28"/>
        </w:rPr>
        <w:t xml:space="preserve">6</w:t>
      </w:r>
      <w:r>
        <w:rPr>
          <w:b/>
          <w:color w:val="000000"/>
          <w:sz w:val="28"/>
          <w:szCs w:val="28"/>
        </w:rPr>
        <w:t xml:space="preserve">.  Молодежная политика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08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 муниципальном образовании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проживает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5 680 человек в возрасте от 18 до 30 лет, что составляет 17,5% от общей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численности населения района. Работа по реализации молодежной политики, обеспечению прав и гарантий молодого поколения, созданию и развитию молодежных и детских общественных организаций </w:t>
      </w:r>
      <w:r>
        <w:rPr>
          <w:sz w:val="28"/>
          <w:szCs w:val="28"/>
        </w:rPr>
        <w:t xml:space="preserve">строится в соответствии с постановлением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равительства Белгородской области </w:t>
      </w:r>
      <w:r>
        <w:rPr>
          <w:sz w:val="28"/>
          <w:szCs w:val="28"/>
        </w:rPr>
        <w:t xml:space="preserve">от 29.12.2008 года № 338-пп «Об областной целевой программе «Молодость </w:t>
      </w:r>
      <w:r>
        <w:rPr>
          <w:sz w:val="28"/>
          <w:szCs w:val="28"/>
        </w:rPr>
        <w:t xml:space="preserve">Белгородчины</w:t>
      </w:r>
      <w:r>
        <w:rPr>
          <w:sz w:val="28"/>
          <w:szCs w:val="28"/>
        </w:rPr>
        <w:t xml:space="preserve">» на  2009 – 2012 годы</w:t>
      </w:r>
      <w:r>
        <w:rPr>
          <w:sz w:val="28"/>
          <w:szCs w:val="28"/>
        </w:rPr>
        <w:t xml:space="preserve">», а также в соотве</w:t>
      </w:r>
      <w:r>
        <w:rPr>
          <w:sz w:val="28"/>
          <w:szCs w:val="28"/>
        </w:rPr>
        <w:t xml:space="preserve">т</w:t>
      </w:r>
      <w:r>
        <w:rPr>
          <w:sz w:val="28"/>
          <w:szCs w:val="28"/>
        </w:rPr>
        <w:t xml:space="preserve">ствии с распоряжением правительства Белгородской области от 07.02.2007 года №15-рп «О Стратегии государственной молодежной политики Белгородской области».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2011 году активно реализовывались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рограммы «Молодежь Чернянского района на 2009-2012 годы», «Патриотическое воспитание граждан Чернянского района на 2011-2015 годы», «Обеспечение жилье</w:t>
      </w:r>
      <w:r>
        <w:rPr>
          <w:sz w:val="28"/>
          <w:szCs w:val="28"/>
        </w:rPr>
        <w:t xml:space="preserve">м молодых семей Чернянского района на 2011- 2015 годы», «Комплексные меры противодействие злоупотреблению наркотиками и их незаконному обороту на 2010 – 2012 годы»,  «Духовно-нравственное воспитания населения Чернянского района на 2011-2013 годы» и другие.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реализацию молодежной политики из бюджета муниципального образования израсходовано денежных средств в размере 951,7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руб.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Ведется работа по основным направлениям программы: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социально-экономических условий и гарантий реализации молодежной политики: решение социально-экономических проблем молодежи, включая компле</w:t>
      </w:r>
      <w:r>
        <w:rPr>
          <w:sz w:val="28"/>
          <w:szCs w:val="28"/>
        </w:rPr>
        <w:t xml:space="preserve">ксную поддержку молодых семей; вопросов профессионального развития, самоопределения и занятости молодежи, обеспечение социальной поддержки молодежи, детских и молодежных общественных объединений; решение проблем консультирования молодежи по вопросам семьи,</w:t>
      </w:r>
      <w:r>
        <w:rPr>
          <w:sz w:val="28"/>
          <w:szCs w:val="28"/>
        </w:rPr>
        <w:t xml:space="preserve"> семейных конфликтов, преодоления трудных жизненных ситуаций; содействие оздоровлению молодых людей, повышение уровня их физической культуры и спортивной активности, развитие массовых видов детского, молодежного, семейного спорта, туризма и отдыха и т. д.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культурных и информацио</w:t>
      </w:r>
      <w:r>
        <w:rPr>
          <w:sz w:val="28"/>
          <w:szCs w:val="28"/>
        </w:rPr>
        <w:t xml:space="preserve">нных условий реализации молодежной политики: создание условий для гражданско-патриотического воспитания молодежи, формирование и пропаганда положительного образа современного человека; подготовка молодых людей к службе в рядах Вооруженных сил России и т.д.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tabs>
          <w:tab w:val="left" w:pos="360" w:leader="none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- в организации отдыха, оздоровления и занятости детей и подростков используются различные формы работы – детские оздоровительные загородные лагеря, лагеря с дневным пребыванием, различные трудовые формирования подростков.                           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1.3. Экономический потенциал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экономики муниципального образования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разрезе видов экономической деятельности с указанием удельного веса каждого вида в общем обороте ор</w:t>
      </w:r>
      <w:r>
        <w:rPr>
          <w:sz w:val="28"/>
          <w:szCs w:val="28"/>
        </w:rPr>
        <w:t xml:space="preserve">ганизаций по итогам работы в 2011</w:t>
      </w:r>
      <w:r>
        <w:rPr>
          <w:sz w:val="28"/>
          <w:szCs w:val="28"/>
        </w:rPr>
        <w:t xml:space="preserve"> году приведена в таблице</w:t>
      </w:r>
      <w:r>
        <w:rPr>
          <w:sz w:val="28"/>
          <w:szCs w:val="28"/>
        </w:rPr>
        <w:t xml:space="preserve"> 31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  <w:t xml:space="preserve">Таблица </w:t>
      </w:r>
      <w:r>
        <w:rPr>
          <w:i/>
          <w:color w:val="000000"/>
          <w:sz w:val="28"/>
          <w:szCs w:val="28"/>
        </w:rPr>
        <w:t xml:space="preserve">31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ind w:firstLine="720"/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Видовая структура экономики муниципального образования</w:t>
      </w:r>
      <w:r>
        <w:rPr>
          <w:b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</w:p>
    <w:p>
      <w:pPr>
        <w:ind w:firstLine="720"/>
        <w:jc w:val="center"/>
        <w:rPr>
          <w:b/>
          <w:bCs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  <w:t xml:space="preserve"> за 2011 год</w:t>
      </w:r>
      <w:r>
        <w:rPr>
          <w:b/>
          <w:color w:val="000000"/>
          <w:sz w:val="28"/>
          <w:szCs w:val="28"/>
        </w:rPr>
        <w:t xml:space="preserve"> (по крупным и средним предприятиям)</w:t>
      </w:r>
      <w:r>
        <w:rPr>
          <w:b/>
          <w:color w:val="000000"/>
          <w:sz w:val="28"/>
          <w:szCs w:val="28"/>
        </w:rPr>
      </w:r>
      <w:r>
        <w:rPr>
          <w:b/>
          <w:bCs/>
          <w:color w:val="000000"/>
          <w:sz w:val="28"/>
          <w:szCs w:val="28"/>
        </w:rPr>
      </w:r>
    </w:p>
    <w:p>
      <w:pPr>
        <w:ind w:firstLine="72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1440"/>
        <w:gridCol w:w="1620"/>
        <w:gridCol w:w="1260"/>
        <w:gridCol w:w="1611"/>
      </w:tblGrid>
      <w:tr>
        <w:tblPrEx/>
        <w:trPr>
          <w:tblHeader/>
        </w:trPr>
        <w:tc>
          <w:tcPr>
            <w:tcW w:w="370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Виды экономической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деятельности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gridSpan w:val="2"/>
            <w:tcW w:w="306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Отгружено товаров собственного производства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gridSpan w:val="2"/>
            <w:tcW w:w="287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Среднесписочная численность работников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blHeader/>
        </w:trPr>
        <w:tc>
          <w:tcPr>
            <w:tcW w:w="3708" w:type="dxa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тыс.</w:t>
            </w:r>
            <w:r>
              <w:rPr>
                <w:b/>
                <w:color w:val="000000"/>
              </w:rPr>
              <w:t xml:space="preserve"> руб.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удельный вес,</w:t>
            </w:r>
            <w:r>
              <w:rPr>
                <w:b/>
                <w:color w:val="000000"/>
              </w:rPr>
              <w:t xml:space="preserve">%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человек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61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удельный вес,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3708" w:type="dxa"/>
            <w:textDirection w:val="lrTb"/>
            <w:noWrap w:val="false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ВСЕГО по МО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3 </w:t>
            </w:r>
            <w:r>
              <w:rPr>
                <w:b/>
                <w:color w:val="000000"/>
                <w:lang w:val="en-US"/>
              </w:rPr>
              <w:t xml:space="preserve"> </w:t>
            </w:r>
            <w:r>
              <w:rPr>
                <w:b/>
                <w:color w:val="000000"/>
              </w:rPr>
              <w:t xml:space="preserve">233</w:t>
            </w:r>
            <w:r>
              <w:rPr>
                <w:b/>
                <w:color w:val="000000"/>
                <w:lang w:val="en-US"/>
              </w:rPr>
              <w:t xml:space="preserve"> </w:t>
            </w:r>
            <w:r>
              <w:rPr>
                <w:b/>
                <w:color w:val="000000"/>
              </w:rPr>
              <w:t xml:space="preserve">41</w:t>
            </w:r>
            <w:r>
              <w:rPr>
                <w:b/>
                <w:color w:val="000000"/>
              </w:rPr>
              <w:t xml:space="preserve">6,</w:t>
            </w:r>
            <w:r>
              <w:rPr>
                <w:b/>
                <w:color w:val="000000"/>
              </w:rPr>
              <w:t xml:space="preserve">6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100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6 358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61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100,0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37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     в том числе: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1611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/>
        <w:tc>
          <w:tcPr>
            <w:tcW w:w="37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Сельское хозяйство, охота и лесное хозяйство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 xml:space="preserve">1 </w:t>
            </w:r>
            <w:r>
              <w:rPr>
                <w:color w:val="000000"/>
              </w:rPr>
              <w:t xml:space="preserve">193</w:t>
            </w:r>
            <w:r>
              <w:rPr>
                <w:color w:val="000000"/>
                <w:lang w:val="en-US"/>
              </w:rPr>
              <w:t xml:space="preserve"> </w:t>
            </w:r>
            <w:r>
              <w:rPr>
                <w:color w:val="000000"/>
              </w:rPr>
              <w:t xml:space="preserve">531</w:t>
            </w:r>
            <w:r>
              <w:rPr>
                <w:color w:val="000000"/>
              </w:rPr>
              <w:t xml:space="preserve">,</w:t>
            </w: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36,9</w:t>
            </w:r>
            <w:r/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1 417</w:t>
            </w:r>
            <w:r/>
          </w:p>
        </w:tc>
        <w:tc>
          <w:tcPr>
            <w:tcW w:w="16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22,3</w:t>
            </w:r>
            <w:r/>
          </w:p>
        </w:tc>
      </w:tr>
      <w:tr>
        <w:tblPrEx/>
        <w:trPr/>
        <w:tc>
          <w:tcPr>
            <w:tcW w:w="37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Обрабатывающие производства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</w:t>
            </w:r>
            <w:r>
              <w:rPr>
                <w:color w:val="000000"/>
                <w:lang w:val="en-US"/>
              </w:rPr>
              <w:t xml:space="preserve"> </w:t>
            </w:r>
            <w:r>
              <w:rPr>
                <w:color w:val="000000"/>
              </w:rPr>
              <w:t xml:space="preserve">507</w:t>
            </w:r>
            <w:r>
              <w:rPr>
                <w:color w:val="000000"/>
                <w:lang w:val="en-US"/>
              </w:rPr>
              <w:t xml:space="preserve"> </w:t>
            </w:r>
            <w:r>
              <w:rPr>
                <w:color w:val="000000"/>
              </w:rPr>
              <w:t xml:space="preserve">036</w:t>
            </w:r>
            <w:r>
              <w:rPr>
                <w:color w:val="000000"/>
              </w:rPr>
              <w:t xml:space="preserve">,</w:t>
            </w: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46,6</w:t>
            </w:r>
            <w:r/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719</w:t>
            </w:r>
            <w:r/>
          </w:p>
        </w:tc>
        <w:tc>
          <w:tcPr>
            <w:tcW w:w="16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11,3</w:t>
            </w:r>
            <w:r/>
          </w:p>
        </w:tc>
      </w:tr>
      <w:tr>
        <w:tblPrEx/>
        <w:trPr/>
        <w:tc>
          <w:tcPr>
            <w:tcW w:w="37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Производство и распределение электроэнергии, газа и воды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71</w:t>
            </w:r>
            <w:r>
              <w:rPr>
                <w:color w:val="000000"/>
                <w:lang w:val="en-US"/>
              </w:rPr>
              <w:t xml:space="preserve"> </w:t>
            </w:r>
            <w:r>
              <w:rPr>
                <w:color w:val="000000"/>
              </w:rPr>
              <w:t xml:space="preserve">00</w:t>
            </w:r>
            <w:r>
              <w:rPr>
                <w:color w:val="000000"/>
              </w:rPr>
              <w:t xml:space="preserve">5,</w:t>
            </w: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2,2</w:t>
            </w:r>
            <w:r/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302</w:t>
            </w:r>
            <w:r/>
          </w:p>
        </w:tc>
        <w:tc>
          <w:tcPr>
            <w:tcW w:w="16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4,7</w:t>
            </w:r>
            <w:r/>
          </w:p>
        </w:tc>
      </w:tr>
      <w:tr>
        <w:tblPrEx/>
        <w:trPr/>
        <w:tc>
          <w:tcPr>
            <w:tcW w:w="37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Строительство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 xml:space="preserve">1</w:t>
            </w:r>
            <w:r>
              <w:rPr>
                <w:color w:val="000000"/>
              </w:rPr>
              <w:t xml:space="preserve">96</w:t>
            </w:r>
            <w:r>
              <w:rPr>
                <w:color w:val="000000"/>
                <w:lang w:val="en-US"/>
              </w:rPr>
              <w:t xml:space="preserve"> </w:t>
            </w:r>
            <w:r>
              <w:rPr>
                <w:color w:val="000000"/>
              </w:rPr>
              <w:t xml:space="preserve">146</w:t>
            </w:r>
            <w:r>
              <w:rPr>
                <w:color w:val="000000"/>
              </w:rPr>
              <w:t xml:space="preserve">,</w:t>
            </w: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6,1</w:t>
            </w:r>
            <w:r/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108</w:t>
            </w:r>
            <w:r/>
          </w:p>
        </w:tc>
        <w:tc>
          <w:tcPr>
            <w:tcW w:w="16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1,7</w:t>
            </w:r>
            <w:r/>
          </w:p>
        </w:tc>
      </w:tr>
      <w:tr>
        <w:tblPrEx/>
        <w:trPr/>
        <w:tc>
          <w:tcPr>
            <w:tcW w:w="3708" w:type="dxa"/>
            <w:textDirection w:val="lrTb"/>
            <w:noWrap w:val="false"/>
          </w:tcPr>
          <w:p>
            <w:pPr>
              <w:pStyle w:val="1034"/>
              <w:tabs>
                <w:tab w:val="clear" w:pos="4677" w:leader="none"/>
                <w:tab w:val="clear" w:pos="9355" w:leader="none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Оптовая и розничная торговля, ремонт автотранспортных средств, мотоциклов, бытовых изделий и предметов личного пользования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2 463</w:t>
            </w:r>
            <w:r>
              <w:rPr>
                <w:color w:val="000000"/>
              </w:rPr>
              <w:t xml:space="preserve">,</w:t>
            </w:r>
            <w:r>
              <w:rPr>
                <w:color w:val="000000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</w:t>
            </w:r>
            <w:r/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179</w:t>
            </w:r>
            <w:r/>
          </w:p>
        </w:tc>
        <w:tc>
          <w:tcPr>
            <w:tcW w:w="16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2,8</w:t>
            </w:r>
            <w:r/>
          </w:p>
        </w:tc>
      </w:tr>
      <w:tr>
        <w:tblPrEx/>
        <w:trPr/>
        <w:tc>
          <w:tcPr>
            <w:tcW w:w="37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Гостиницы и рестораны 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27 858,5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0,9</w:t>
            </w:r>
            <w:r/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68</w:t>
            </w:r>
            <w:r/>
          </w:p>
        </w:tc>
        <w:tc>
          <w:tcPr>
            <w:tcW w:w="16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1,1</w:t>
            </w:r>
            <w:r/>
          </w:p>
        </w:tc>
      </w:tr>
      <w:tr>
        <w:tblPrEx/>
        <w:trPr/>
        <w:tc>
          <w:tcPr>
            <w:tcW w:w="37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Транспорт и связь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175 918,1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5,4</w:t>
            </w:r>
            <w:r/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27</w:t>
            </w:r>
            <w:r/>
          </w:p>
        </w:tc>
        <w:tc>
          <w:tcPr>
            <w:tcW w:w="16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0,4</w:t>
            </w:r>
            <w:r/>
          </w:p>
        </w:tc>
      </w:tr>
      <w:tr>
        <w:tblPrEx/>
        <w:trPr/>
        <w:tc>
          <w:tcPr>
            <w:tcW w:w="37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Операции с недвижимым имуществом, аренда и предоставление услуг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9 808</w:t>
            </w:r>
            <w:r>
              <w:rPr>
                <w:color w:val="000000"/>
              </w:rPr>
              <w:t xml:space="preserve">,</w:t>
            </w: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0,3</w:t>
            </w:r>
            <w:r/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49</w:t>
            </w:r>
            <w:r/>
          </w:p>
        </w:tc>
        <w:tc>
          <w:tcPr>
            <w:tcW w:w="16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0,8</w:t>
            </w:r>
            <w:r/>
          </w:p>
        </w:tc>
      </w:tr>
      <w:tr>
        <w:tblPrEx/>
        <w:trPr/>
        <w:tc>
          <w:tcPr>
            <w:tcW w:w="37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Государственное управление и обеспечение военной безопасности, обязательное социальное обеспечение 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69,0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</w:t>
            </w:r>
            <w:r/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710</w:t>
            </w:r>
            <w:r/>
          </w:p>
        </w:tc>
        <w:tc>
          <w:tcPr>
            <w:tcW w:w="16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11,2</w:t>
            </w:r>
            <w:r/>
          </w:p>
        </w:tc>
      </w:tr>
      <w:tr>
        <w:tblPrEx/>
        <w:trPr/>
        <w:tc>
          <w:tcPr>
            <w:tcW w:w="37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Образование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7 950,9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0,2</w:t>
            </w:r>
            <w:r/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1 467</w:t>
            </w:r>
            <w:r/>
          </w:p>
        </w:tc>
        <w:tc>
          <w:tcPr>
            <w:tcW w:w="16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23,1</w:t>
            </w:r>
            <w:r/>
          </w:p>
        </w:tc>
      </w:tr>
      <w:tr>
        <w:tblPrEx/>
        <w:trPr/>
        <w:tc>
          <w:tcPr>
            <w:tcW w:w="37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Здравоохранение и предоставление социальных услуг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</w:t>
            </w:r>
            <w:r>
              <w:rPr>
                <w:color w:val="000000"/>
              </w:rPr>
              <w:t xml:space="preserve"> </w:t>
            </w:r>
            <w:r>
              <w:rPr>
                <w:color w:val="000000"/>
              </w:rPr>
              <w:t xml:space="preserve">836</w:t>
            </w:r>
            <w:r>
              <w:rPr>
                <w:color w:val="000000"/>
              </w:rPr>
              <w:t xml:space="preserve">,</w:t>
            </w: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0,3</w:t>
            </w:r>
            <w:r/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797</w:t>
            </w:r>
            <w:r/>
          </w:p>
        </w:tc>
        <w:tc>
          <w:tcPr>
            <w:tcW w:w="16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12,5</w:t>
            </w:r>
            <w:r/>
          </w:p>
        </w:tc>
      </w:tr>
      <w:tr>
        <w:tblPrEx/>
        <w:trPr/>
        <w:tc>
          <w:tcPr>
            <w:tcW w:w="370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Предоставление прочих коммунальных, социальных и персональных услуг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40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30</w:t>
            </w:r>
            <w:r>
              <w:rPr>
                <w:color w:val="000000"/>
              </w:rPr>
              <w:t xml:space="preserve"> </w:t>
            </w:r>
            <w:r>
              <w:rPr>
                <w:color w:val="000000"/>
              </w:rPr>
              <w:t xml:space="preserve">7</w:t>
            </w:r>
            <w:r>
              <w:rPr>
                <w:color w:val="000000"/>
              </w:rPr>
              <w:t xml:space="preserve">9</w:t>
            </w:r>
            <w:r>
              <w:rPr>
                <w:color w:val="000000"/>
              </w:rPr>
              <w:t xml:space="preserve">1</w:t>
            </w:r>
            <w:r>
              <w:rPr>
                <w:color w:val="000000"/>
              </w:rPr>
              <w:t xml:space="preserve">,</w:t>
            </w:r>
            <w:r>
              <w:rPr>
                <w:color w:val="000000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62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1,0</w:t>
            </w:r>
            <w:r/>
          </w:p>
        </w:tc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481</w:t>
            </w:r>
            <w:r/>
          </w:p>
        </w:tc>
        <w:tc>
          <w:tcPr>
            <w:tcW w:w="161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7,6</w:t>
            </w:r>
            <w:r/>
          </w:p>
        </w:tc>
      </w:tr>
    </w:tbl>
    <w:p>
      <w:pPr>
        <w:pStyle w:val="1041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041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Отгружено товаров собственного производства, выполнено работ и услуг собственными силами</w:t>
      </w:r>
      <w:r>
        <w:rPr>
          <w:rFonts w:ascii="Times New Roman" w:hAnsi="Times New Roman"/>
          <w:color w:val="000000"/>
          <w:sz w:val="28"/>
          <w:szCs w:val="28"/>
        </w:rPr>
        <w:t xml:space="preserve"> в разрезе видов экономической деятельности по крупным и средним организациям по дан</w:t>
      </w:r>
      <w:r>
        <w:rPr>
          <w:rFonts w:ascii="Times New Roman" w:hAnsi="Times New Roman"/>
          <w:color w:val="000000"/>
          <w:sz w:val="28"/>
          <w:szCs w:val="28"/>
        </w:rPr>
        <w:t xml:space="preserve">ным </w:t>
      </w:r>
      <w:r>
        <w:rPr>
          <w:rFonts w:ascii="Times New Roman" w:hAnsi="Times New Roman"/>
          <w:color w:val="000000"/>
          <w:sz w:val="28"/>
          <w:szCs w:val="28"/>
        </w:rPr>
        <w:t xml:space="preserve">Белгородстата</w:t>
      </w:r>
      <w:r>
        <w:rPr>
          <w:rFonts w:ascii="Times New Roman" w:hAnsi="Times New Roman"/>
          <w:color w:val="000000"/>
          <w:sz w:val="28"/>
          <w:szCs w:val="28"/>
        </w:rPr>
        <w:t xml:space="preserve"> за </w:t>
      </w:r>
      <w:r>
        <w:rPr>
          <w:rFonts w:ascii="Times New Roman" w:hAnsi="Times New Roman"/>
          <w:color w:val="000000"/>
          <w:sz w:val="28"/>
          <w:szCs w:val="28"/>
        </w:rPr>
        <w:t xml:space="preserve">2011 год составил </w:t>
      </w:r>
      <w:r>
        <w:rPr>
          <w:rFonts w:ascii="Times New Roman" w:hAnsi="Times New Roman"/>
          <w:color w:val="000000"/>
          <w:sz w:val="28"/>
          <w:szCs w:val="28"/>
        </w:rPr>
        <w:t xml:space="preserve">3</w:t>
      </w:r>
      <w:r>
        <w:rPr>
          <w:rFonts w:ascii="Times New Roman" w:hAnsi="Times New Roman"/>
          <w:color w:val="000000"/>
          <w:sz w:val="28"/>
          <w:szCs w:val="28"/>
        </w:rPr>
        <w:t xml:space="preserve"> </w:t>
      </w:r>
      <w:r>
        <w:rPr>
          <w:rFonts w:ascii="Times New Roman" w:hAnsi="Times New Roman"/>
          <w:color w:val="000000"/>
          <w:sz w:val="28"/>
          <w:szCs w:val="28"/>
        </w:rPr>
        <w:t xml:space="preserve">233</w:t>
      </w:r>
      <w:r>
        <w:rPr>
          <w:rFonts w:ascii="Times New Roman" w:hAnsi="Times New Roman"/>
          <w:color w:val="000000"/>
          <w:sz w:val="28"/>
          <w:szCs w:val="28"/>
        </w:rPr>
        <w:t xml:space="preserve">,</w:t>
      </w:r>
      <w:r>
        <w:rPr>
          <w:rFonts w:ascii="Times New Roman" w:hAnsi="Times New Roman"/>
          <w:color w:val="000000"/>
          <w:sz w:val="28"/>
          <w:szCs w:val="28"/>
        </w:rPr>
        <w:t xml:space="preserve">4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млн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  <w:t xml:space="preserve"> руб.</w:t>
      </w:r>
      <w:r>
        <w:rPr>
          <w:rFonts w:ascii="Times New Roman" w:hAnsi="Times New Roman"/>
          <w:color w:val="000000"/>
          <w:sz w:val="28"/>
          <w:szCs w:val="28"/>
        </w:rPr>
        <w:t xml:space="preserve">, что на </w:t>
      </w:r>
      <w:r>
        <w:rPr>
          <w:rFonts w:ascii="Times New Roman" w:hAnsi="Times New Roman"/>
          <w:color w:val="000000"/>
          <w:sz w:val="28"/>
          <w:szCs w:val="28"/>
        </w:rPr>
        <w:t xml:space="preserve">0,2</w:t>
      </w:r>
      <w:r>
        <w:rPr>
          <w:rFonts w:ascii="Times New Roman" w:hAnsi="Times New Roman"/>
          <w:color w:val="000000"/>
          <w:sz w:val="28"/>
          <w:szCs w:val="28"/>
        </w:rPr>
        <w:t xml:space="preserve">%</w:t>
      </w:r>
      <w:r>
        <w:rPr>
          <w:rFonts w:ascii="Times New Roman" w:hAnsi="Times New Roman"/>
          <w:color w:val="000000"/>
          <w:sz w:val="28"/>
          <w:szCs w:val="28"/>
        </w:rPr>
        <w:t xml:space="preserve"> меньше</w:t>
      </w:r>
      <w:r>
        <w:rPr>
          <w:rFonts w:ascii="Times New Roman" w:hAnsi="Times New Roman"/>
          <w:color w:val="000000"/>
          <w:sz w:val="28"/>
          <w:szCs w:val="28"/>
        </w:rPr>
        <w:t xml:space="preserve"> уровня 2010 года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Наибольший удельный вес в структуре экономики занимают обрабаты</w:t>
      </w:r>
      <w:r>
        <w:rPr>
          <w:rFonts w:ascii="Times New Roman" w:hAnsi="Times New Roman"/>
          <w:color w:val="000000"/>
          <w:sz w:val="28"/>
          <w:szCs w:val="28"/>
        </w:rPr>
        <w:t xml:space="preserve">вающие производства –   46,6</w:t>
      </w:r>
      <w:r>
        <w:rPr>
          <w:rFonts w:ascii="Times New Roman" w:hAnsi="Times New Roman"/>
          <w:color w:val="000000"/>
          <w:sz w:val="28"/>
          <w:szCs w:val="28"/>
        </w:rPr>
        <w:t xml:space="preserve">%</w:t>
      </w:r>
      <w:r>
        <w:rPr>
          <w:rFonts w:ascii="Times New Roman" w:hAnsi="Times New Roman"/>
          <w:color w:val="000000"/>
          <w:sz w:val="28"/>
          <w:szCs w:val="28"/>
        </w:rPr>
        <w:t xml:space="preserve">, сельское хозяйств</w:t>
      </w:r>
      <w:r>
        <w:rPr>
          <w:rFonts w:ascii="Times New Roman" w:hAnsi="Times New Roman"/>
          <w:color w:val="000000"/>
          <w:sz w:val="28"/>
          <w:szCs w:val="28"/>
        </w:rPr>
        <w:t xml:space="preserve">о, охота и лесное хозяйство – 36,9</w:t>
      </w:r>
      <w:r>
        <w:rPr>
          <w:rFonts w:ascii="Times New Roman" w:hAnsi="Times New Roman"/>
          <w:color w:val="000000"/>
          <w:sz w:val="28"/>
          <w:szCs w:val="28"/>
        </w:rPr>
        <w:t xml:space="preserve">%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работников по крупным и средним предприятиям за 2011 год составила 6,4 </w:t>
      </w:r>
      <w:r>
        <w:rPr>
          <w:rFonts w:ascii="Times New Roman" w:hAnsi="Times New Roman"/>
          <w:color w:val="000000"/>
          <w:sz w:val="28"/>
          <w:szCs w:val="28"/>
        </w:rPr>
        <w:t xml:space="preserve">тыс.</w:t>
      </w:r>
      <w:r>
        <w:rPr>
          <w:rFonts w:ascii="Times New Roman" w:hAnsi="Times New Roman"/>
          <w:color w:val="000000"/>
          <w:sz w:val="28"/>
          <w:szCs w:val="28"/>
        </w:rPr>
        <w:t xml:space="preserve"> человек, что на 0,2</w:t>
      </w:r>
      <w:r>
        <w:rPr>
          <w:rFonts w:ascii="Times New Roman" w:hAnsi="Times New Roman"/>
          <w:color w:val="000000"/>
          <w:sz w:val="28"/>
          <w:szCs w:val="28"/>
        </w:rPr>
        <w:t xml:space="preserve">%</w:t>
      </w:r>
      <w:r>
        <w:rPr>
          <w:rFonts w:ascii="Times New Roman" w:hAnsi="Times New Roman"/>
          <w:color w:val="000000"/>
          <w:sz w:val="28"/>
          <w:szCs w:val="28"/>
        </w:rPr>
        <w:t xml:space="preserve"> больше, чем в 2010 году. 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1041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1.3.1. Промышленное производство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Одно из ведущих мест в экономике муниципального образования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занимают промышленные виды экономическ</w:t>
      </w:r>
      <w:r>
        <w:rPr>
          <w:color w:val="000000"/>
          <w:sz w:val="28"/>
          <w:szCs w:val="28"/>
        </w:rPr>
        <w:t xml:space="preserve">ой деятельности, представленные 6 предприятиями. Стабильная работа основных промышленных предприятий позволяет устойчиво развиваться экономике района, пополнять бюджет, снижать безработицу. К числу ведущих предприятий муниципального образования относятся: </w:t>
      </w:r>
      <w:r>
        <w:rPr>
          <w:color w:val="000000"/>
          <w:sz w:val="28"/>
          <w:szCs w:val="28"/>
        </w:rPr>
        <w:t xml:space="preserve">О</w:t>
      </w:r>
      <w:r>
        <w:rPr>
          <w:color w:val="000000"/>
          <w:sz w:val="28"/>
          <w:szCs w:val="28"/>
        </w:rPr>
        <w:t xml:space="preserve">АО</w:t>
      </w:r>
      <w:r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 xml:space="preserve">Валуйкисахар</w:t>
      </w:r>
      <w:r>
        <w:rPr>
          <w:color w:val="000000"/>
          <w:sz w:val="28"/>
          <w:szCs w:val="28"/>
        </w:rPr>
        <w:t xml:space="preserve">» - филиал</w:t>
      </w:r>
      <w:r>
        <w:rPr>
          <w:color w:val="000000"/>
          <w:sz w:val="28"/>
          <w:szCs w:val="28"/>
        </w:rPr>
        <w:t xml:space="preserve"> «Чернянский сахарный завод», ЗАО «Чернянский завод растительных масел», ЗАО «Чернянский мясокомбинат», ООО «Пищевой комбинат Чернянский», ОАО «</w:t>
      </w:r>
      <w:r>
        <w:rPr>
          <w:color w:val="000000"/>
          <w:sz w:val="28"/>
          <w:szCs w:val="28"/>
        </w:rPr>
        <w:t xml:space="preserve">БелВелокс</w:t>
      </w:r>
      <w:r>
        <w:rPr>
          <w:color w:val="000000"/>
          <w:sz w:val="28"/>
          <w:szCs w:val="28"/>
        </w:rPr>
        <w:t xml:space="preserve">», ООО ПП «Чернянский кирпичный завод».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Основные показатели развития промышленных видов деятельности муниципального образования  в 200</w:t>
      </w:r>
      <w:r>
        <w:rPr>
          <w:color w:val="000000"/>
          <w:sz w:val="28"/>
          <w:szCs w:val="28"/>
        </w:rPr>
        <w:t xml:space="preserve">7 – 2011</w:t>
      </w:r>
      <w:r>
        <w:rPr>
          <w:color w:val="000000"/>
          <w:sz w:val="28"/>
          <w:szCs w:val="28"/>
        </w:rPr>
        <w:t xml:space="preserve"> годах представлены в таблице 32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3</w:t>
      </w:r>
      <w:r>
        <w:rPr>
          <w:i/>
          <w:color w:val="000000"/>
          <w:sz w:val="28"/>
          <w:szCs w:val="28"/>
        </w:rPr>
        <w:t xml:space="preserve">2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Основные показатели развития промышленных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предприятий  в МО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20"/>
        <w:jc w:val="center"/>
        <w:rPr>
          <w:color w:val="000000"/>
        </w:rPr>
      </w:pPr>
      <w:r>
        <w:rPr>
          <w:color w:val="000000"/>
        </w:rPr>
      </w:r>
      <w:r>
        <w:rPr>
          <w:color w:val="000000"/>
        </w:rPr>
      </w:r>
      <w:r>
        <w:rPr>
          <w:color w:val="000000"/>
        </w:rPr>
      </w:r>
    </w:p>
    <w:tbl>
      <w:tblPr>
        <w:tblW w:w="9457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1143"/>
        <w:gridCol w:w="850"/>
        <w:gridCol w:w="992"/>
        <w:gridCol w:w="992"/>
        <w:gridCol w:w="1143"/>
        <w:gridCol w:w="1228"/>
      </w:tblGrid>
      <w:tr>
        <w:tblPrEx/>
        <w:trPr>
          <w:trHeight w:val="1089"/>
          <w:tblHeader/>
        </w:trPr>
        <w:tc>
          <w:tcPr>
            <w:tcW w:w="3109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Показатели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143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2007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50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2008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2009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2010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143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2011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228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Темп роста 2011 к 2007,</w:t>
            </w:r>
            <w:r>
              <w:rPr>
                <w:b/>
                <w:color w:val="000000"/>
              </w:rPr>
              <w:t xml:space="preserve">%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584"/>
        </w:trPr>
        <w:tc>
          <w:tcPr>
            <w:tcW w:w="3109" w:type="dxa"/>
            <w:textDirection w:val="lrTb"/>
            <w:noWrap w:val="false"/>
          </w:tcPr>
          <w:p>
            <w:pPr>
              <w:jc w:val="both"/>
            </w:pPr>
            <w:r>
              <w:t xml:space="preserve">Количество промышленных предприятий (ед.)</w:t>
            </w:r>
            <w:r/>
          </w:p>
        </w:tc>
        <w:tc>
          <w:tcPr>
            <w:tcW w:w="11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  <w:p>
            <w:pPr>
              <w:jc w:val="center"/>
            </w:pPr>
            <w:r>
              <w:t xml:space="preserve">6</w:t>
            </w:r>
            <w:r/>
          </w:p>
          <w:p>
            <w:pPr>
              <w:jc w:val="center"/>
            </w:pPr>
            <w:r/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  <w:tc>
          <w:tcPr>
            <w:tcW w:w="11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  <w:tc>
          <w:tcPr>
            <w:tcW w:w="12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120</w:t>
            </w:r>
            <w:r/>
          </w:p>
        </w:tc>
      </w:tr>
      <w:tr>
        <w:tblPrEx/>
        <w:trPr>
          <w:trHeight w:val="327"/>
        </w:trPr>
        <w:tc>
          <w:tcPr>
            <w:tcW w:w="3109" w:type="dxa"/>
            <w:textDirection w:val="lrTb"/>
            <w:noWrap w:val="false"/>
          </w:tcPr>
          <w:p>
            <w:pPr>
              <w:jc w:val="both"/>
            </w:pPr>
            <w:r>
              <w:t xml:space="preserve">Объем отгруженной продукции, выполненных работ и услуг собственными силами (</w:t>
            </w:r>
            <w:r>
              <w:t xml:space="preserve">млн</w:t>
            </w:r>
            <w:r>
              <w:t xml:space="preserve">.</w:t>
            </w:r>
            <w:r>
              <w:t xml:space="preserve"> </w:t>
            </w:r>
            <w:r>
              <w:t xml:space="preserve">рублей</w:t>
            </w:r>
            <w:r>
              <w:t xml:space="preserve">)</w:t>
            </w:r>
            <w:r/>
          </w:p>
        </w:tc>
        <w:tc>
          <w:tcPr>
            <w:tcW w:w="11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1 969,8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553,0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810,4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2 119,2</w:t>
            </w:r>
            <w:r/>
          </w:p>
        </w:tc>
        <w:tc>
          <w:tcPr>
            <w:tcW w:w="11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1 678,6</w:t>
            </w:r>
            <w:r/>
          </w:p>
        </w:tc>
        <w:tc>
          <w:tcPr>
            <w:tcW w:w="12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85,2</w:t>
            </w:r>
            <w:r/>
          </w:p>
        </w:tc>
      </w:tr>
      <w:tr>
        <w:tblPrEx/>
        <w:trPr>
          <w:trHeight w:val="544"/>
        </w:trPr>
        <w:tc>
          <w:tcPr>
            <w:tcW w:w="3109" w:type="dxa"/>
            <w:textDirection w:val="lrTb"/>
            <w:noWrap w:val="false"/>
          </w:tcPr>
          <w:p>
            <w:pPr>
              <w:jc w:val="both"/>
            </w:pPr>
            <w:r>
              <w:t xml:space="preserve">Балансовая прибыль (</w:t>
            </w:r>
            <w:r>
              <w:t xml:space="preserve">млн</w:t>
            </w:r>
            <w:r>
              <w:t xml:space="preserve">.</w:t>
            </w:r>
            <w:r>
              <w:t xml:space="preserve"> </w:t>
            </w:r>
            <w:r>
              <w:t xml:space="preserve">рублей</w:t>
            </w:r>
            <w:r>
              <w:t xml:space="preserve">)</w:t>
            </w:r>
            <w:r/>
          </w:p>
        </w:tc>
        <w:tc>
          <w:tcPr>
            <w:tcW w:w="11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-153,1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-143,5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-9,9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-82,7</w:t>
            </w:r>
            <w:r/>
          </w:p>
        </w:tc>
        <w:tc>
          <w:tcPr>
            <w:tcW w:w="11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1,97</w:t>
            </w:r>
            <w:r/>
          </w:p>
        </w:tc>
        <w:tc>
          <w:tcPr>
            <w:tcW w:w="12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</w:tr>
      <w:tr>
        <w:tblPrEx/>
        <w:trPr>
          <w:trHeight w:val="544"/>
        </w:trPr>
        <w:tc>
          <w:tcPr>
            <w:tcW w:w="3109" w:type="dxa"/>
            <w:textDirection w:val="lrTb"/>
            <w:noWrap w:val="false"/>
          </w:tcPr>
          <w:p>
            <w:pPr>
              <w:jc w:val="both"/>
            </w:pPr>
            <w:r>
              <w:t xml:space="preserve">Фонд оплаты труда</w:t>
            </w:r>
            <w:r/>
          </w:p>
          <w:p>
            <w:pPr>
              <w:jc w:val="both"/>
            </w:pPr>
            <w:r>
              <w:t xml:space="preserve">(</w:t>
            </w:r>
            <w:r>
              <w:t xml:space="preserve">млн</w:t>
            </w:r>
            <w:r>
              <w:t xml:space="preserve">.</w:t>
            </w:r>
            <w:r>
              <w:t xml:space="preserve"> </w:t>
            </w:r>
            <w:r>
              <w:t xml:space="preserve">рублей</w:t>
            </w:r>
            <w:r>
              <w:t xml:space="preserve">)</w:t>
            </w:r>
            <w:r/>
          </w:p>
        </w:tc>
        <w:tc>
          <w:tcPr>
            <w:tcW w:w="11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154,5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105,5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118,8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157,7</w:t>
            </w:r>
            <w:r/>
          </w:p>
        </w:tc>
        <w:tc>
          <w:tcPr>
            <w:tcW w:w="11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154,0</w:t>
            </w:r>
            <w:r/>
          </w:p>
        </w:tc>
        <w:tc>
          <w:tcPr>
            <w:tcW w:w="12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99,7</w:t>
            </w:r>
            <w:r/>
          </w:p>
        </w:tc>
      </w:tr>
      <w:tr>
        <w:tblPrEx/>
        <w:trPr>
          <w:trHeight w:val="544"/>
        </w:trPr>
        <w:tc>
          <w:tcPr>
            <w:tcW w:w="3109" w:type="dxa"/>
            <w:textDirection w:val="lrTb"/>
            <w:noWrap w:val="false"/>
          </w:tcPr>
          <w:p>
            <w:pPr>
              <w:jc w:val="both"/>
            </w:pPr>
            <w:r>
              <w:t xml:space="preserve">Среднемесячная заработная плата (рублей)</w:t>
            </w:r>
            <w:r/>
          </w:p>
        </w:tc>
        <w:tc>
          <w:tcPr>
            <w:tcW w:w="11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 </w:t>
            </w:r>
            <w:r>
              <w:t xml:space="preserve">298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9 533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13 141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 </w:t>
            </w:r>
            <w:r>
              <w:t xml:space="preserve">082</w:t>
            </w:r>
            <w:r/>
          </w:p>
        </w:tc>
        <w:tc>
          <w:tcPr>
            <w:tcW w:w="11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 </w:t>
            </w:r>
            <w:r>
              <w:t xml:space="preserve">585</w:t>
            </w:r>
            <w:r/>
          </w:p>
        </w:tc>
        <w:tc>
          <w:tcPr>
            <w:tcW w:w="12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в 1,7 раза</w:t>
            </w:r>
            <w:r/>
          </w:p>
        </w:tc>
      </w:tr>
      <w:tr>
        <w:tblPrEx/>
        <w:trPr>
          <w:trHeight w:val="827"/>
        </w:trPr>
        <w:tc>
          <w:tcPr>
            <w:tcW w:w="3109" w:type="dxa"/>
            <w:textDirection w:val="lrTb"/>
            <w:noWrap w:val="false"/>
          </w:tcPr>
          <w:p>
            <w:pPr>
              <w:jc w:val="both"/>
            </w:pPr>
            <w:r>
              <w:t xml:space="preserve">Среднесписочная численность работающих, человек</w:t>
            </w:r>
            <w:r/>
          </w:p>
        </w:tc>
        <w:tc>
          <w:tcPr>
            <w:tcW w:w="11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1 336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1 047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890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938</w:t>
            </w:r>
            <w:r/>
          </w:p>
        </w:tc>
        <w:tc>
          <w:tcPr>
            <w:tcW w:w="11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835</w:t>
            </w:r>
            <w:r/>
          </w:p>
        </w:tc>
        <w:tc>
          <w:tcPr>
            <w:tcW w:w="12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62,5</w:t>
            </w:r>
            <w:r/>
          </w:p>
        </w:tc>
      </w:tr>
      <w:tr>
        <w:tblPrEx/>
        <w:trPr>
          <w:trHeight w:val="1391"/>
        </w:trPr>
        <w:tc>
          <w:tcPr>
            <w:tcW w:w="3109" w:type="dxa"/>
            <w:textDirection w:val="lrTb"/>
            <w:noWrap w:val="false"/>
          </w:tcPr>
          <w:p>
            <w:pPr>
              <w:jc w:val="both"/>
            </w:pPr>
            <w:r>
              <w:t xml:space="preserve">Инвестиции в основной капитал за счет всех источников финансирования (</w:t>
            </w:r>
            <w:r>
              <w:t xml:space="preserve">млн</w:t>
            </w:r>
            <w:r>
              <w:t xml:space="preserve">.</w:t>
            </w:r>
            <w:r>
              <w:t xml:space="preserve"> </w:t>
            </w:r>
            <w:r>
              <w:t xml:space="preserve">рублей</w:t>
            </w:r>
            <w:r>
              <w:t xml:space="preserve">)</w:t>
            </w:r>
            <w:r/>
          </w:p>
        </w:tc>
        <w:tc>
          <w:tcPr>
            <w:tcW w:w="11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73,8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5,0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191,1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251,7</w:t>
            </w:r>
            <w:r/>
          </w:p>
        </w:tc>
        <w:tc>
          <w:tcPr>
            <w:tcW w:w="11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255,9</w:t>
            </w:r>
            <w:r/>
          </w:p>
        </w:tc>
        <w:tc>
          <w:tcPr>
            <w:tcW w:w="12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в 3,5 р</w:t>
            </w:r>
            <w:r>
              <w:t xml:space="preserve">аза</w:t>
            </w:r>
            <w:r/>
          </w:p>
        </w:tc>
      </w:tr>
      <w:tr>
        <w:tblPrEx/>
        <w:trPr>
          <w:trHeight w:val="564"/>
        </w:trPr>
        <w:tc>
          <w:tcPr>
            <w:tcW w:w="3109" w:type="dxa"/>
            <w:textDirection w:val="lrTb"/>
            <w:noWrap w:val="false"/>
          </w:tcPr>
          <w:p>
            <w:pPr>
              <w:jc w:val="both"/>
            </w:pPr>
            <w:r>
              <w:t xml:space="preserve">Количество убыточных предприятий (ед.)</w:t>
            </w:r>
            <w:r/>
          </w:p>
        </w:tc>
        <w:tc>
          <w:tcPr>
            <w:tcW w:w="11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W w:w="85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tcW w:w="114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tcW w:w="12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150</w:t>
            </w:r>
            <w:r/>
          </w:p>
        </w:tc>
      </w:tr>
    </w:tbl>
    <w:p>
      <w:pPr>
        <w:ind w:firstLine="720"/>
        <w:jc w:val="both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  <w:r>
        <w:rPr>
          <w:color w:val="ff0000"/>
        </w:rPr>
      </w:r>
    </w:p>
    <w:p>
      <w:pPr>
        <w:ind w:firstLine="72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За 2011 год промышленными предприятиями муниципального образования отгружено товаров собственного производства, выполнено </w:t>
      </w:r>
      <w:r>
        <w:rPr>
          <w:sz w:val="28"/>
          <w:szCs w:val="28"/>
        </w:rPr>
        <w:t xml:space="preserve">работ и услуг собственными силами на сумму 1 678,6 </w:t>
      </w:r>
      <w:r>
        <w:rPr>
          <w:sz w:val="28"/>
          <w:szCs w:val="28"/>
        </w:rPr>
        <w:t xml:space="preserve">млн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руб.</w:t>
      </w:r>
      <w:r>
        <w:rPr>
          <w:sz w:val="28"/>
          <w:szCs w:val="28"/>
        </w:rPr>
        <w:t xml:space="preserve">, что в действующих ценах ниже уровня 2007 года на 14,8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37,5% </w:t>
      </w:r>
      <w:r>
        <w:rPr>
          <w:sz w:val="28"/>
          <w:szCs w:val="28"/>
        </w:rPr>
        <w:t xml:space="preserve">снизилась среднесписочная численность работающих на промышленных предприятиях района и составила в 2011 году 835 человек. Среднемесячная номинальная начисленная заработная плата по промышленным видам экономической деятельности в 2011 году составила 15 365 </w:t>
      </w:r>
      <w:r>
        <w:rPr>
          <w:sz w:val="28"/>
          <w:szCs w:val="28"/>
        </w:rPr>
        <w:t xml:space="preserve">руб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и увеличилась по сравнению с 2007 годом на 59,4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 Инвестиции в промышленные виды деятельности за 5 лет увеличились в 3,5 раза. С 2007 года по  2010 год наблюдался спад по промышленным предприятиям, были  получены убытки. Лишь в 2011 году была получена прибыль в сумме 1,97 </w:t>
      </w:r>
      <w:r>
        <w:rPr>
          <w:sz w:val="28"/>
          <w:szCs w:val="28"/>
        </w:rPr>
        <w:t xml:space="preserve">млн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руб.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Анализируя работу промышленных предприятий с 2007 по 2011 годы можно сказать, что экономический кризис 2008 года отразился и на раз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итии предприятий. Так в 2008 году в стадии банкротства находились основные промышленны</w:t>
      </w:r>
      <w:r>
        <w:rPr>
          <w:sz w:val="28"/>
          <w:szCs w:val="28"/>
        </w:rPr>
        <w:t xml:space="preserve">е предприятия: ЗАО «Кристалл-Бел» и ООО «МК Кристалл», в связи с недостаточным поступлением сырья и трудностями с реализацией готовой продукции отмечалось снижение производства на ЗАО «Чернянский мясокомбинат» и  ЗАО «Чернянский завод растительных масел».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Производство продукции в натуральном выражении в 2007 – 2011 годах представ</w:t>
      </w:r>
      <w:r>
        <w:rPr>
          <w:sz w:val="28"/>
          <w:szCs w:val="28"/>
        </w:rPr>
        <w:t xml:space="preserve">лено в таблице 33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12"/>
        <w:rPr>
          <w:b w:val="0"/>
          <w:i/>
          <w:color w:val="000000"/>
          <w:sz w:val="28"/>
          <w:szCs w:val="28"/>
        </w:rPr>
      </w:pPr>
      <w:r>
        <w:rPr>
          <w:b w:val="0"/>
          <w:i/>
          <w:color w:val="000000"/>
          <w:sz w:val="28"/>
          <w:szCs w:val="28"/>
        </w:rPr>
        <w:t xml:space="preserve">Таблица 3</w:t>
      </w:r>
      <w:r>
        <w:rPr>
          <w:b w:val="0"/>
          <w:i/>
          <w:color w:val="000000"/>
          <w:sz w:val="28"/>
          <w:szCs w:val="28"/>
        </w:rPr>
        <w:t xml:space="preserve">3</w:t>
      </w:r>
      <w:r>
        <w:rPr>
          <w:b w:val="0"/>
          <w:i/>
          <w:color w:val="000000"/>
          <w:sz w:val="28"/>
          <w:szCs w:val="28"/>
        </w:rPr>
      </w:r>
      <w:r>
        <w:rPr>
          <w:b w:val="0"/>
          <w:i/>
          <w:color w:val="000000"/>
          <w:sz w:val="28"/>
          <w:szCs w:val="28"/>
        </w:rPr>
      </w:r>
    </w:p>
    <w:p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Производство продукции в натуральном выражении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 МО «Чернянский район» за 2007 - 2011 годы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20"/>
        <w:jc w:val="center"/>
        <w:rPr>
          <w:b/>
          <w:color w:val="000000"/>
        </w:rPr>
      </w:pPr>
      <w:r>
        <w:rPr>
          <w:b/>
          <w:color w:val="000000"/>
        </w:rPr>
      </w:r>
      <w:r>
        <w:rPr>
          <w:b/>
          <w:color w:val="000000"/>
        </w:rPr>
      </w:r>
      <w:r>
        <w:rPr>
          <w:b/>
          <w:color w:val="000000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828"/>
        <w:gridCol w:w="828"/>
        <w:gridCol w:w="828"/>
        <w:gridCol w:w="828"/>
        <w:gridCol w:w="828"/>
        <w:gridCol w:w="1251"/>
      </w:tblGrid>
      <w:tr>
        <w:tblPrEx/>
        <w:trPr>
          <w:cantSplit/>
          <w:trHeight w:val="242"/>
          <w:tblHeader/>
        </w:trPr>
        <w:tc>
          <w:tcPr>
            <w:tcW w:w="4248" w:type="dxa"/>
            <w:vAlign w:val="center"/>
            <w:vMerge w:val="restart"/>
            <w:textDirection w:val="lrTb"/>
            <w:noWrap w:val="false"/>
          </w:tcPr>
          <w:p>
            <w:pPr>
              <w:pStyle w:val="1009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Наименование продукции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  <w:tc>
          <w:tcPr>
            <w:gridSpan w:val="5"/>
            <w:tcW w:w="414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Произведено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25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Темп роста </w:t>
            </w:r>
            <w:r>
              <w:rPr>
                <w:b/>
                <w:color w:val="000000"/>
              </w:rPr>
              <w:t xml:space="preserve">2011 г</w:t>
            </w:r>
            <w:r>
              <w:rPr>
                <w:b/>
                <w:color w:val="000000"/>
              </w:rPr>
              <w:t xml:space="preserve">. к </w:t>
            </w:r>
            <w:r>
              <w:rPr>
                <w:b/>
                <w:color w:val="000000"/>
              </w:rPr>
              <w:t xml:space="preserve">2007 г</w:t>
            </w:r>
            <w:r>
              <w:rPr>
                <w:b/>
                <w:color w:val="000000"/>
              </w:rPr>
              <w:t xml:space="preserve">;</w:t>
            </w:r>
            <w:r>
              <w:rPr>
                <w:b/>
                <w:color w:val="000000"/>
              </w:rPr>
              <w:t xml:space="preserve">%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cantSplit/>
          <w:trHeight w:val="645"/>
          <w:tblHeader/>
        </w:trPr>
        <w:tc>
          <w:tcPr>
            <w:tcW w:w="4248" w:type="dxa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</w:r>
            <w:r>
              <w:rPr>
                <w:b/>
                <w:color w:val="ff0000"/>
              </w:rPr>
            </w:r>
            <w:r>
              <w:rPr>
                <w:b/>
                <w:color w:val="ff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2007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2008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2009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2010год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2011 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251" w:type="dxa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</w:r>
            <w:r>
              <w:rPr>
                <w:b/>
                <w:color w:val="ff0000"/>
              </w:rPr>
            </w:r>
            <w:r>
              <w:rPr>
                <w:b/>
                <w:color w:val="ff0000"/>
              </w:rPr>
            </w:r>
          </w:p>
        </w:tc>
      </w:tr>
      <w:tr>
        <w:tblPrEx/>
        <w:trPr>
          <w:cantSplit/>
        </w:trPr>
        <w:tc>
          <w:tcPr>
            <w:tcW w:w="4248" w:type="dxa"/>
            <w:textDirection w:val="lrTb"/>
            <w:noWrap w:val="false"/>
          </w:tcPr>
          <w:p>
            <w:pPr>
              <w:jc w:val="both"/>
            </w:pPr>
            <w:r>
              <w:t xml:space="preserve">Мясо, включая субпродукты </w:t>
            </w:r>
            <w:r>
              <w:rPr>
                <w:lang w:val="en-US"/>
              </w:rPr>
              <w:t xml:space="preserve">I</w:t>
            </w:r>
            <w:r>
              <w:t xml:space="preserve"> категории, </w:t>
            </w:r>
            <w:r>
              <w:t xml:space="preserve">тыс.</w:t>
            </w:r>
            <w:r>
              <w:t xml:space="preserve"> тонн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1,8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1,4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1,3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1,1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0,5</w:t>
            </w:r>
            <w:r/>
          </w:p>
        </w:tc>
        <w:tc>
          <w:tcPr>
            <w:tcW w:w="125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27,8</w:t>
            </w:r>
            <w:r/>
          </w:p>
        </w:tc>
      </w:tr>
      <w:tr>
        <w:tblPrEx/>
        <w:trPr>
          <w:cantSplit/>
        </w:trPr>
        <w:tc>
          <w:tcPr>
            <w:tcW w:w="4248" w:type="dxa"/>
            <w:textDirection w:val="lrTb"/>
            <w:noWrap w:val="false"/>
          </w:tcPr>
          <w:p>
            <w:pPr>
              <w:jc w:val="both"/>
            </w:pPr>
            <w:r>
              <w:t xml:space="preserve">Колбасные изделия, </w:t>
            </w:r>
            <w:r>
              <w:t xml:space="preserve">тыс.</w:t>
            </w:r>
            <w:r>
              <w:t xml:space="preserve"> тонн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2,6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1,8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1,6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1,3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0,9</w:t>
            </w:r>
            <w:r/>
          </w:p>
        </w:tc>
        <w:tc>
          <w:tcPr>
            <w:tcW w:w="125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34,6</w:t>
            </w:r>
            <w:r/>
          </w:p>
        </w:tc>
      </w:tr>
      <w:tr>
        <w:tblPrEx/>
        <w:trPr>
          <w:cantSplit/>
        </w:trPr>
        <w:tc>
          <w:tcPr>
            <w:tcW w:w="4248" w:type="dxa"/>
            <w:textDirection w:val="lrTb"/>
            <w:noWrap w:val="false"/>
          </w:tcPr>
          <w:p>
            <w:pPr>
              <w:jc w:val="both"/>
            </w:pPr>
            <w:r>
              <w:t xml:space="preserve">Масло животное 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0,2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0,04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125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</w:tr>
      <w:tr>
        <w:tblPrEx/>
        <w:trPr>
          <w:cantSplit/>
        </w:trPr>
        <w:tc>
          <w:tcPr>
            <w:tcW w:w="4248" w:type="dxa"/>
            <w:textDirection w:val="lrTb"/>
            <w:noWrap w:val="false"/>
          </w:tcPr>
          <w:p>
            <w:pPr>
              <w:jc w:val="both"/>
            </w:pPr>
            <w:r>
              <w:t xml:space="preserve">Цельномолочная продукция в пересчете на молоко, </w:t>
            </w:r>
            <w:r>
              <w:t xml:space="preserve">тыс.</w:t>
            </w:r>
            <w:r>
              <w:t xml:space="preserve"> тонн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1,6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0,3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125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</w:tr>
      <w:tr>
        <w:tblPrEx/>
        <w:trPr>
          <w:cantSplit/>
        </w:trPr>
        <w:tc>
          <w:tcPr>
            <w:tcW w:w="4248" w:type="dxa"/>
            <w:textDirection w:val="lrTb"/>
            <w:noWrap w:val="false"/>
          </w:tcPr>
          <w:p>
            <w:pPr>
              <w:jc w:val="both"/>
            </w:pPr>
            <w:r>
              <w:t xml:space="preserve">Сыры жирные, тонн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50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52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125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</w:tr>
      <w:tr>
        <w:tblPrEx/>
        <w:trPr>
          <w:cantSplit/>
        </w:trPr>
        <w:tc>
          <w:tcPr>
            <w:tcW w:w="4248" w:type="dxa"/>
            <w:textDirection w:val="lrTb"/>
            <w:noWrap w:val="false"/>
          </w:tcPr>
          <w:p>
            <w:pPr>
              <w:jc w:val="both"/>
            </w:pPr>
            <w:r>
              <w:t xml:space="preserve">Сахар-песок, </w:t>
            </w:r>
            <w:r>
              <w:t xml:space="preserve">тыс.</w:t>
            </w:r>
            <w:r>
              <w:t xml:space="preserve"> тонн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137,0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-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50,1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79,2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121,6</w:t>
            </w:r>
            <w:r/>
          </w:p>
        </w:tc>
        <w:tc>
          <w:tcPr>
            <w:tcW w:w="125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88,8</w:t>
            </w:r>
            <w:r/>
          </w:p>
        </w:tc>
      </w:tr>
      <w:tr>
        <w:tblPrEx/>
        <w:trPr>
          <w:cantSplit/>
        </w:trPr>
        <w:tc>
          <w:tcPr>
            <w:tcW w:w="4248" w:type="dxa"/>
            <w:textDirection w:val="lrTb"/>
            <w:noWrap w:val="false"/>
          </w:tcPr>
          <w:p>
            <w:pPr>
              <w:jc w:val="both"/>
            </w:pPr>
            <w:r>
              <w:t xml:space="preserve">Масло растительное, </w:t>
            </w:r>
            <w:r>
              <w:t xml:space="preserve">тыс.</w:t>
            </w:r>
            <w:r>
              <w:t xml:space="preserve"> тонн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32,8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20,1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28,1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12,4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7,2</w:t>
            </w:r>
            <w:r/>
          </w:p>
        </w:tc>
        <w:tc>
          <w:tcPr>
            <w:tcW w:w="125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22,0</w:t>
            </w:r>
            <w:r/>
          </w:p>
        </w:tc>
      </w:tr>
      <w:tr>
        <w:tblPrEx/>
        <w:trPr>
          <w:cantSplit/>
        </w:trPr>
        <w:tc>
          <w:tcPr>
            <w:tcW w:w="4248" w:type="dxa"/>
            <w:textDirection w:val="lrTb"/>
            <w:noWrap w:val="false"/>
          </w:tcPr>
          <w:p>
            <w:pPr>
              <w:jc w:val="both"/>
            </w:pPr>
            <w:r>
              <w:t xml:space="preserve">Кирпич строительный, млн. шт. </w:t>
            </w:r>
            <w:r>
              <w:t xml:space="preserve">усл</w:t>
            </w:r>
            <w:r>
              <w:t xml:space="preserve">. </w:t>
            </w:r>
            <w:r>
              <w:t xml:space="preserve">кирп</w:t>
            </w:r>
            <w:r>
              <w:t xml:space="preserve">. 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4,7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4,6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4,2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4,4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4,7</w:t>
            </w:r>
            <w:r/>
          </w:p>
        </w:tc>
        <w:tc>
          <w:tcPr>
            <w:tcW w:w="125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</w:p>
        </w:tc>
      </w:tr>
      <w:tr>
        <w:tblPrEx/>
        <w:trPr>
          <w:cantSplit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48" w:type="dxa"/>
            <w:textDirection w:val="lrTb"/>
            <w:noWrap w:val="false"/>
          </w:tcPr>
          <w:p>
            <w:pPr>
              <w:jc w:val="both"/>
            </w:pPr>
            <w:r>
              <w:t xml:space="preserve">Продукты из картофеля, тонн 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547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456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5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</w:tr>
    </w:tbl>
    <w:p>
      <w:pPr>
        <w:ind w:firstLine="72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pStyle w:val="1041"/>
        <w:spacing w:after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Производство основных видов промышленной продукции, выпускаемой предприятиями Чернянского района за пять лет снизилось. </w:t>
      </w:r>
      <w:r>
        <w:rPr>
          <w:rFonts w:ascii="Times New Roman" w:hAnsi="Times New Roman"/>
          <w:color w:val="ff0000"/>
          <w:sz w:val="28"/>
          <w:szCs w:val="28"/>
        </w:rPr>
      </w:r>
      <w:r>
        <w:rPr>
          <w:rFonts w:ascii="Times New Roman" w:hAnsi="Times New Roman"/>
          <w:color w:val="ff0000"/>
          <w:sz w:val="28"/>
          <w:szCs w:val="28"/>
        </w:rPr>
      </w:r>
    </w:p>
    <w:p>
      <w:pPr>
        <w:pStyle w:val="1038"/>
        <w:ind w:firstLine="72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2011 году по сравнению с 2007 годом в связи с недостаточным поступлением сырья и трудностями с реализацией готовой продукции снижено производство мяса- на 72,2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, колбасных изделий – на 65,4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8"/>
        <w:ind w:firstLine="72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2008 году прекратил осуществление своей деятельности 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соответственно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выпуск продукции ООО «МК Кристалл».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8"/>
        <w:ind w:firstLine="72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2008 году на сахарном заводе деятельность не осуществлялась, так как предприятие находилось в стадии банкротства. В 2009 году на заводе произошла смена собственника и завод вновь начал производство сахара-песка. В 2011 году на ОАО «</w:t>
      </w:r>
      <w:r>
        <w:rPr>
          <w:sz w:val="28"/>
          <w:szCs w:val="28"/>
        </w:rPr>
        <w:t xml:space="preserve">Валуйкисахар</w:t>
      </w:r>
      <w:r>
        <w:rPr>
          <w:sz w:val="28"/>
          <w:szCs w:val="28"/>
        </w:rPr>
        <w:t xml:space="preserve">» филиал «Чернянский сахарный завод» было произведено 121,6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тонн сахара-песка, что на 11,2% меньше, чем в 2007 году.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8"/>
        <w:ind w:firstLine="720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В связи со с</w:t>
      </w:r>
      <w:r>
        <w:rPr>
          <w:sz w:val="28"/>
          <w:szCs w:val="28"/>
        </w:rPr>
        <w:t xml:space="preserve">меной собственника  в 2011 году, а также с проблемами поставки сырья на ЗАО «Чернянский завод растительных масел» были простои в работе предприятия. В связи с этим в 2011 году по сравнению с 2007 годом было произведено масло растительного в 4,6 раз меньше.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финансового кризиса 2008 года на развитие промышленного комплекса можно квалифицировать как резко негативное. Основной</w:t>
      </w:r>
      <w:r>
        <w:rPr>
          <w:sz w:val="28"/>
          <w:szCs w:val="28"/>
        </w:rPr>
        <w:t xml:space="preserve"> проблемой стала недоступность кредитных ресурсов большинству промышленных предприятий. В условиях финансового кризиса доступ к кредитным ресурсам сократился из-за существенного увеличения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</w:t>
      </w:r>
      <w:r>
        <w:rPr>
          <w:sz w:val="28"/>
          <w:szCs w:val="28"/>
        </w:rPr>
        <w:t xml:space="preserve">ных ставок, с одной стороны, и дополнительных требований банков по возврату заемных средств, в том числе предоставлению дополнительных гарантий – с другой.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1.3.2. Сельское хозяйство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Сельское хозяйство является одной из основных отраслей в муниципальном образовании.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его долю приходится 24,7% общего оборота организаций муниципального образования.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состоянию на 01.01.2012 года на территории функционировало 10 сельскох</w:t>
      </w:r>
      <w:r>
        <w:rPr>
          <w:color w:val="000000"/>
          <w:sz w:val="28"/>
          <w:szCs w:val="28"/>
        </w:rPr>
        <w:t xml:space="preserve">озяйственных предприятий, из них: 6 предприятий являются интегрированными хозяйствами, 4 – работают самостоятельно (ОАО «Орлик, СПК «Бородинский», ЗАО «Виктория», ООО «Платина»), 67 – крестьянских фермерских хозяйства. Высоких показателей добивается  КФХ «</w:t>
      </w:r>
      <w:r>
        <w:rPr>
          <w:color w:val="000000"/>
          <w:sz w:val="28"/>
          <w:szCs w:val="28"/>
        </w:rPr>
        <w:t xml:space="preserve">Сукмановка</w:t>
      </w:r>
      <w:r>
        <w:rPr>
          <w:color w:val="000000"/>
          <w:sz w:val="28"/>
          <w:szCs w:val="28"/>
        </w:rPr>
        <w:t xml:space="preserve">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Основные показатели работы сельскохозяйственных предприятий приведены в таблице 3</w:t>
      </w:r>
      <w:r>
        <w:rPr>
          <w:color w:val="000000"/>
          <w:sz w:val="28"/>
          <w:szCs w:val="28"/>
        </w:rPr>
        <w:t xml:space="preserve">4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3</w:t>
      </w:r>
      <w:r>
        <w:rPr>
          <w:i/>
          <w:color w:val="000000"/>
          <w:sz w:val="28"/>
          <w:szCs w:val="28"/>
        </w:rPr>
        <w:t xml:space="preserve">4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ind w:firstLine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Основные показатели развития сельского хозяйства  </w:t>
      </w:r>
      <w:r>
        <w:rPr>
          <w:b/>
          <w:color w:val="000000"/>
          <w:sz w:val="28"/>
          <w:szCs w:val="28"/>
        </w:rPr>
        <w:t xml:space="preserve">в МО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20"/>
        <w:jc w:val="center"/>
        <w:rPr>
          <w:b/>
          <w:color w:val="ff0000"/>
        </w:rPr>
      </w:pPr>
      <w:r>
        <w:rPr>
          <w:b/>
          <w:color w:val="ff0000"/>
        </w:rPr>
      </w:r>
      <w:r>
        <w:rPr>
          <w:b/>
          <w:color w:val="ff0000"/>
        </w:rPr>
      </w:r>
      <w:r>
        <w:rPr>
          <w:b/>
          <w:color w:val="ff0000"/>
        </w:rPr>
      </w:r>
    </w:p>
    <w:tbl>
      <w:tblPr>
        <w:tblW w:w="98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828"/>
        <w:gridCol w:w="828"/>
        <w:gridCol w:w="828"/>
        <w:gridCol w:w="828"/>
        <w:gridCol w:w="912"/>
        <w:gridCol w:w="1417"/>
      </w:tblGrid>
      <w:tr>
        <w:tblPrEx/>
        <w:trPr>
          <w:tblHeader/>
        </w:trPr>
        <w:tc>
          <w:tcPr>
            <w:tcW w:w="4248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Показатели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28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2007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28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2008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28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2009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28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2010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912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2011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Темп роста 2011 к 2007,</w:t>
            </w:r>
            <w:r>
              <w:rPr>
                <w:b/>
                <w:color w:val="000000"/>
                <w:sz w:val="22"/>
                <w:szCs w:val="22"/>
              </w:rPr>
              <w:t xml:space="preserve">%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Количество сельскохозяйственных предприятий (ед.)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111,1</w:t>
            </w:r>
            <w:r/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Количество крестьянских (фермерских) хозяйств (ед.)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76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70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68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67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88,2</w:t>
            </w:r>
            <w:r/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Количество ЛПХ, занимающихся производством товарной продукции, ед.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1120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1150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1172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1200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1290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115,2</w:t>
            </w:r>
            <w:r/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Выпуск продукции сельского хозяйства всеми сельхозпроизводителями  в действующих ценах каждого года (</w:t>
            </w:r>
            <w:r>
              <w:rPr>
                <w:color w:val="000000"/>
                <w:sz w:val="22"/>
                <w:szCs w:val="22"/>
              </w:rPr>
              <w:t xml:space="preserve">млн</w:t>
            </w:r>
            <w:r>
              <w:rPr>
                <w:color w:val="000000"/>
                <w:sz w:val="22"/>
                <w:szCs w:val="22"/>
              </w:rPr>
              <w:t xml:space="preserve">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рублей</w:t>
            </w:r>
            <w:r>
              <w:rPr>
                <w:color w:val="000000"/>
                <w:sz w:val="22"/>
                <w:szCs w:val="22"/>
              </w:rPr>
              <w:t xml:space="preserve">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1564,7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2350,3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1871,4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1740,3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3 437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в 2,2 раза</w:t>
            </w:r>
            <w:r/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Прибыль до налогообложения (</w:t>
            </w:r>
            <w:r>
              <w:rPr>
                <w:color w:val="000000"/>
                <w:sz w:val="22"/>
                <w:szCs w:val="22"/>
              </w:rPr>
              <w:t xml:space="preserve">млн</w:t>
            </w:r>
            <w:r>
              <w:rPr>
                <w:color w:val="000000"/>
                <w:sz w:val="22"/>
                <w:szCs w:val="22"/>
              </w:rPr>
              <w:t xml:space="preserve">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рублей</w:t>
            </w:r>
            <w:r>
              <w:rPr>
                <w:color w:val="000000"/>
                <w:sz w:val="22"/>
                <w:szCs w:val="22"/>
              </w:rPr>
              <w:t xml:space="preserve">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18,6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47,5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-160,9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136,8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176,6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в 9,5 р</w:t>
            </w:r>
            <w:r>
              <w:rPr>
                <w:sz w:val="22"/>
                <w:szCs w:val="22"/>
              </w:rPr>
              <w:t xml:space="preserve">аза</w:t>
            </w:r>
            <w:r/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Степень износа основных фондов (%)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22,0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19,0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24,0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24,0</w:t>
            </w:r>
            <w:r/>
          </w:p>
        </w:tc>
        <w:tc>
          <w:tcPr>
            <w:tcW w:w="91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22,00</w:t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100,0</w:t>
            </w:r>
            <w:r/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Инвестиции в основной капитал за счет всех источников финансирования (</w:t>
            </w:r>
            <w:r>
              <w:rPr>
                <w:sz w:val="22"/>
                <w:szCs w:val="22"/>
              </w:rPr>
              <w:t xml:space="preserve">млн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рублей</w:t>
            </w:r>
            <w:r>
              <w:rPr>
                <w:sz w:val="22"/>
                <w:szCs w:val="22"/>
              </w:rPr>
              <w:t xml:space="preserve">)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420,3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74,2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88,8</w:t>
            </w:r>
            <w:r/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594,0</w:t>
            </w:r>
            <w:r/>
          </w:p>
        </w:tc>
        <w:tc>
          <w:tcPr>
            <w:tcW w:w="91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284,2</w:t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67,6</w:t>
            </w:r>
            <w:r/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Среднемесячная заработная плата (рублей)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6</w:t>
            </w:r>
            <w:r>
              <w:rPr>
                <w:color w:val="000000"/>
                <w:sz w:val="22"/>
                <w:szCs w:val="22"/>
              </w:rPr>
              <w:t xml:space="preserve"> 794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10 258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113</w:t>
            </w:r>
            <w:r>
              <w:rPr>
                <w:color w:val="000000"/>
                <w:sz w:val="22"/>
                <w:szCs w:val="22"/>
              </w:rPr>
              <w:t xml:space="preserve">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13</w:t>
            </w:r>
            <w:r>
              <w:rPr>
                <w:color w:val="000000"/>
                <w:sz w:val="22"/>
                <w:szCs w:val="22"/>
              </w:rPr>
              <w:t xml:space="preserve"> 798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18 899</w:t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в 2,</w:t>
            </w:r>
            <w:r>
              <w:rPr>
                <w:sz w:val="22"/>
                <w:szCs w:val="22"/>
              </w:rPr>
              <w:t xml:space="preserve">8</w:t>
            </w:r>
            <w:r>
              <w:rPr>
                <w:sz w:val="22"/>
                <w:szCs w:val="22"/>
              </w:rPr>
              <w:t xml:space="preserve"> р</w:t>
            </w:r>
            <w:r>
              <w:rPr>
                <w:sz w:val="22"/>
                <w:szCs w:val="22"/>
              </w:rPr>
              <w:t xml:space="preserve">аза</w:t>
            </w:r>
            <w:r/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Среднесписочная численность работников (чел.)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1424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1437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1463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1 283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1417</w:t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99,5</w:t>
            </w:r>
            <w:r/>
          </w:p>
        </w:tc>
      </w:tr>
      <w:tr>
        <w:tblPrEx/>
        <w:trPr/>
        <w:tc>
          <w:tcPr>
            <w:tcW w:w="424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Количество убыточных предприятий (ед.)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2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9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66,7</w:t>
            </w:r>
            <w:r/>
          </w:p>
        </w:tc>
      </w:tr>
    </w:tbl>
    <w:p>
      <w:pPr>
        <w:ind w:firstLine="720"/>
        <w:jc w:val="both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  <w:r>
        <w:rPr>
          <w:color w:val="ff0000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исследуемый период число крупных сельскохозяйственных предприятий увеличилось на 1, а число фермерских хозяйств сократилось на 9 за счет процессов интеграции и укрупнения сельскохозяйственных формирований.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Объем продукции сельского хозяйства за 2007-2011 годы увеличился </w:t>
      </w:r>
      <w:r>
        <w:rPr>
          <w:color w:val="000000"/>
          <w:sz w:val="28"/>
          <w:szCs w:val="28"/>
        </w:rPr>
        <w:t xml:space="preserve">в 2,2 раза и</w:t>
      </w:r>
      <w:r>
        <w:rPr>
          <w:color w:val="000000"/>
          <w:sz w:val="28"/>
          <w:szCs w:val="28"/>
        </w:rPr>
        <w:t xml:space="preserve"> в 2011 году достиг </w:t>
      </w:r>
      <w:r>
        <w:rPr>
          <w:color w:val="000000"/>
          <w:sz w:val="28"/>
          <w:szCs w:val="28"/>
        </w:rPr>
        <w:t xml:space="preserve">3,4 </w:t>
      </w:r>
      <w:r>
        <w:rPr>
          <w:color w:val="000000"/>
          <w:sz w:val="28"/>
          <w:szCs w:val="28"/>
        </w:rPr>
        <w:t xml:space="preserve">млрд. </w:t>
      </w:r>
      <w:r>
        <w:rPr>
          <w:color w:val="000000"/>
          <w:sz w:val="28"/>
          <w:szCs w:val="28"/>
        </w:rPr>
        <w:t xml:space="preserve">руб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Вследствие модернизации сельскохозяйственного производства и применения новейших технологий производства и высокопроизводительной техники численность работников, занятых в сельскохозяйственном </w:t>
      </w:r>
      <w:r>
        <w:rPr>
          <w:sz w:val="28"/>
          <w:szCs w:val="28"/>
        </w:rPr>
        <w:t xml:space="preserve">производстве, имеет тенденцию к умень</w:t>
      </w:r>
      <w:r>
        <w:rPr>
          <w:sz w:val="28"/>
          <w:szCs w:val="28"/>
        </w:rPr>
        <w:t xml:space="preserve">шению и в 2011 году составила </w:t>
      </w:r>
      <w:r>
        <w:rPr>
          <w:sz w:val="28"/>
          <w:szCs w:val="28"/>
        </w:rPr>
        <w:t xml:space="preserve">1 417 чел. Однако, это не отразилось на росте реальной заработной платы. Среднемесячная номинальная начисленная заработная плата в сельском хозяйстве в 2011 году составила 18 899 </w:t>
      </w:r>
      <w:r>
        <w:rPr>
          <w:sz w:val="28"/>
          <w:szCs w:val="28"/>
        </w:rPr>
        <w:t xml:space="preserve">руб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и увеличилась по сравнению с 2007 годом в  2,7 раза.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результате укрепления производственно-финансовой деятельности предприятий ускоряется процесс обновления основных производственных фондов, что наглядно показывает коэффициент износа основных фондов, который в 2011 году составил 22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процента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№ 35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pStyle w:val="10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Основные показатели производственной деятельности производителей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сельскохозяйственной продукции в МО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08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tbl>
      <w:tblPr>
        <w:tblW w:w="951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3288"/>
        <w:gridCol w:w="692"/>
        <w:gridCol w:w="865"/>
        <w:gridCol w:w="865"/>
        <w:gridCol w:w="865"/>
        <w:gridCol w:w="865"/>
        <w:gridCol w:w="867"/>
        <w:gridCol w:w="1212"/>
      </w:tblGrid>
      <w:tr>
        <w:tblPrEx/>
        <w:trPr>
          <w:cantSplit/>
          <w:trHeight w:val="423"/>
          <w:tblHeader/>
        </w:trPr>
        <w:tc>
          <w:tcPr>
            <w:tcW w:w="3288" w:type="dxa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Наименование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показателей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69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Ед.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из-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мер.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gridSpan w:val="5"/>
            <w:tcW w:w="4327" w:type="dxa"/>
            <w:vAlign w:val="center"/>
            <w:textDirection w:val="lrTb"/>
            <w:noWrap w:val="false"/>
          </w:tcPr>
          <w:p>
            <w:pPr>
              <w:pStyle w:val="1006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Годы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r>
          </w:p>
        </w:tc>
        <w:tc>
          <w:tcPr>
            <w:tcW w:w="121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2011 г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в</w:t>
            </w:r>
            <w:r>
              <w:rPr>
                <w:b/>
                <w:color w:val="000000"/>
                <w:sz w:val="22"/>
                <w:szCs w:val="22"/>
              </w:rPr>
              <w:t xml:space="preserve">%</w:t>
            </w:r>
            <w:r>
              <w:rPr>
                <w:b/>
                <w:color w:val="000000"/>
                <w:sz w:val="22"/>
                <w:szCs w:val="22"/>
              </w:rPr>
              <w:t xml:space="preserve"> к </w:t>
            </w:r>
            <w:r>
              <w:rPr>
                <w:b/>
                <w:color w:val="000000"/>
                <w:sz w:val="22"/>
                <w:szCs w:val="22"/>
              </w:rPr>
              <w:t xml:space="preserve">2007 г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cantSplit/>
          <w:trHeight w:val="786"/>
          <w:tblHeader/>
        </w:trPr>
        <w:tc>
          <w:tcPr>
            <w:tcW w:w="3288" w:type="dxa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</w:r>
            <w:r>
              <w:rPr>
                <w:b/>
                <w:color w:val="ff0000"/>
              </w:rPr>
            </w:r>
            <w:r>
              <w:rPr>
                <w:b/>
                <w:color w:val="ff0000"/>
              </w:rPr>
            </w:r>
          </w:p>
        </w:tc>
        <w:tc>
          <w:tcPr>
            <w:tcW w:w="69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</w:r>
            <w:r>
              <w:rPr>
                <w:b/>
                <w:color w:val="ff0000"/>
              </w:rPr>
            </w:r>
            <w:r>
              <w:rPr>
                <w:b/>
                <w:color w:val="ff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2007 г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2008 г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2009 г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2010 г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2011 г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21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</w:r>
            <w:r>
              <w:rPr>
                <w:b/>
                <w:color w:val="ff0000"/>
              </w:rPr>
            </w:r>
            <w:r>
              <w:rPr>
                <w:b/>
                <w:color w:val="ff0000"/>
              </w:rPr>
            </w:r>
          </w:p>
        </w:tc>
      </w:tr>
      <w:tr>
        <w:tblPrEx/>
        <w:trPr>
          <w:trHeight w:val="262"/>
        </w:trPr>
        <w:tc>
          <w:tcPr>
            <w:tcW w:w="3288" w:type="dxa"/>
            <w:textDirection w:val="lrTb"/>
            <w:noWrap w:val="false"/>
          </w:tcPr>
          <w:p>
            <w:pPr>
              <w:pStyle w:val="1034"/>
              <w:tabs>
                <w:tab w:val="clear" w:pos="4677" w:leader="none"/>
                <w:tab w:val="clear" w:pos="9355" w:leader="none"/>
              </w:tabs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Площадь пашни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га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76531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76548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76548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76501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76501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99,9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42"/>
        </w:trPr>
        <w:tc>
          <w:tcPr>
            <w:tcW w:w="328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  т. ч.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04"/>
        </w:trPr>
        <w:tc>
          <w:tcPr>
            <w:tcW w:w="328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сельскохозяйственных предприятий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га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48194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54212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55291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58250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57864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120,1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42"/>
        </w:trPr>
        <w:tc>
          <w:tcPr>
            <w:tcW w:w="3288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КФХ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га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17604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10613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10227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11671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12413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70,5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cantSplit/>
          <w:trHeight w:val="242"/>
        </w:trPr>
        <w:tc>
          <w:tcPr>
            <w:gridSpan w:val="8"/>
            <w:tcBorders>
              <w:left w:val="single" w:color="auto" w:sz="4" w:space="0"/>
            </w:tcBorders>
            <w:tcW w:w="9519" w:type="dxa"/>
            <w:vAlign w:val="center"/>
            <w:textDirection w:val="lrTb"/>
            <w:noWrap w:val="false"/>
          </w:tcPr>
          <w:p>
            <w:pPr>
              <w:pStyle w:val="1009"/>
              <w:rPr>
                <w:rFonts w:ascii="Times New Roman" w:hAnsi="Times New Roman"/>
                <w:b w:val="0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Валовое производство в хозяйствах всех категорий</w:t>
            </w:r>
            <w:r>
              <w:rPr>
                <w:rFonts w:ascii="Times New Roman" w:hAnsi="Times New Roman"/>
                <w:b w:val="0"/>
                <w:color w:val="000000"/>
              </w:rPr>
            </w:r>
            <w:r>
              <w:rPr>
                <w:rFonts w:ascii="Times New Roman" w:hAnsi="Times New Roman"/>
                <w:b w:val="0"/>
                <w:color w:val="000000"/>
              </w:rPr>
            </w:r>
          </w:p>
        </w:tc>
      </w:tr>
      <w:tr>
        <w:tblPrEx/>
        <w:trPr>
          <w:trHeight w:val="504"/>
        </w:trPr>
        <w:tc>
          <w:tcPr>
            <w:tcW w:w="328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Зерно в весе после доработки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тыс.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тонн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77,7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144,3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73,4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33,2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106,9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135,6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04"/>
        </w:trPr>
        <w:tc>
          <w:tcPr>
            <w:tcW w:w="328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Подсолнечник в зачетном весе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тыс.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тонн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13,1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13,8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13,1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19,0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145,0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04"/>
        </w:trPr>
        <w:tc>
          <w:tcPr>
            <w:tcW w:w="328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Сахарная свекла в зачетном весе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тыс.</w:t>
            </w:r>
            <w:r>
              <w:rPr>
                <w:color w:val="000000"/>
                <w:sz w:val="22"/>
                <w:szCs w:val="22"/>
              </w:rPr>
              <w:t xml:space="preserve"> тонн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154,6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102,9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68,9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99,8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273,8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177,1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484"/>
        </w:trPr>
        <w:tc>
          <w:tcPr>
            <w:tcW w:w="328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Молоко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тыс.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тонн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40,7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52,9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51,6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49,6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54,4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133,7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62"/>
        </w:trPr>
        <w:tc>
          <w:tcPr>
            <w:tcW w:w="328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Скот и птица в живом весе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тыс.</w:t>
            </w:r>
            <w:r>
              <w:rPr>
                <w:color w:val="000000"/>
                <w:sz w:val="22"/>
                <w:szCs w:val="22"/>
              </w:rPr>
              <w:t xml:space="preserve"> тонн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4,7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4,8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90,9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cantSplit/>
          <w:trHeight w:val="242"/>
        </w:trPr>
        <w:tc>
          <w:tcPr>
            <w:gridSpan w:val="8"/>
            <w:tcW w:w="9519" w:type="dxa"/>
            <w:textDirection w:val="lrTb"/>
            <w:noWrap w:val="false"/>
          </w:tcPr>
          <w:p>
            <w:pPr>
              <w:pStyle w:val="1009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Валовое производство в сельскохозяйственных организациях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blPrEx/>
        <w:trPr>
          <w:trHeight w:val="504"/>
        </w:trPr>
        <w:tc>
          <w:tcPr>
            <w:tcW w:w="328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Зерно в весе после доработки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тыс.</w:t>
            </w:r>
            <w:r>
              <w:rPr>
                <w:color w:val="000000"/>
                <w:sz w:val="22"/>
                <w:szCs w:val="22"/>
              </w:rPr>
              <w:t xml:space="preserve"> тонн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63,4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105,2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63,0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28,1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92,4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145,7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04"/>
        </w:trPr>
        <w:tc>
          <w:tcPr>
            <w:tcW w:w="328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Подсолнечник в зачетном весе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тыс.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тонн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9,2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9,8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9,4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9,8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140,2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04"/>
        </w:trPr>
        <w:tc>
          <w:tcPr>
            <w:tcW w:w="328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Сахарная свекла в зачетном весе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тыс.</w:t>
            </w:r>
            <w:r>
              <w:rPr>
                <w:color w:val="000000"/>
                <w:sz w:val="22"/>
                <w:szCs w:val="22"/>
              </w:rPr>
              <w:t xml:space="preserve"> тонн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115,4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82,7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57,8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90,6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252,8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 2,2 р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04"/>
        </w:trPr>
        <w:tc>
          <w:tcPr>
            <w:tcW w:w="328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Молоко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тыс.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тонн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35,5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37,2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38,24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152,9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484"/>
        </w:trPr>
        <w:tc>
          <w:tcPr>
            <w:tcW w:w="328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Скот и птица в живом весе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тыс.</w:t>
            </w:r>
            <w:r>
              <w:rPr>
                <w:color w:val="000000"/>
                <w:sz w:val="22"/>
                <w:szCs w:val="22"/>
              </w:rPr>
              <w:t xml:space="preserve"> тонн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0,8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cantSplit/>
          <w:trHeight w:val="242"/>
        </w:trPr>
        <w:tc>
          <w:tcPr>
            <w:gridSpan w:val="8"/>
            <w:tcW w:w="9519" w:type="dxa"/>
            <w:textDirection w:val="lrTb"/>
            <w:noWrap w:val="false"/>
          </w:tcPr>
          <w:p>
            <w:pPr>
              <w:pStyle w:val="1009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Урожайность, продуктивность в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сельхозорганизациях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</w:tc>
      </w:tr>
      <w:tr>
        <w:tblPrEx/>
        <w:trPr>
          <w:trHeight w:val="262"/>
        </w:trPr>
        <w:tc>
          <w:tcPr>
            <w:tcW w:w="328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Зерно в весе после доработки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ц/га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25,5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37,3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22,3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16,1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33,1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129,8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42"/>
        </w:trPr>
        <w:tc>
          <w:tcPr>
            <w:tcW w:w="328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Подсолнечник в зачетном весе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ц/га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21,3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17,4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21,9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102,8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42"/>
        </w:trPr>
        <w:tc>
          <w:tcPr>
            <w:tcW w:w="328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Сахарная свекла в зачетном весе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ц/га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341,0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320,0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224,0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147,3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401,9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117,9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62"/>
        </w:trPr>
        <w:tc>
          <w:tcPr>
            <w:tcW w:w="328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Надой на 1 фуражную корову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кг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5760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5649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6089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6209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6223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108,0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62"/>
        </w:trPr>
        <w:tc>
          <w:tcPr>
            <w:tcW w:w="3288" w:type="dxa"/>
            <w:textDirection w:val="lrTb"/>
            <w:noWrap w:val="false"/>
          </w:tcPr>
          <w:p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Среднесуточный привес КРС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692" w:type="dxa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гр.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386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475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551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6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473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212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122,5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</w:tbl>
    <w:p>
      <w:pPr>
        <w:ind w:firstLine="720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2011 году в хозяйствах всех категорий валовый сбор сельскохозяйственных культур по сравнению с 2007 годом увеличился. В 2011 году по сравнению с 2007 годом район увеличил производство сахарной свеклы на 77,1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зерна на 35,6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подсолнечника на  45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. 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структуре посевных площадей района в 2011 году удельный вес зерновых культур составляет 47,5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технических</w:t>
      </w:r>
      <w:r>
        <w:rPr>
          <w:color w:val="000000"/>
          <w:sz w:val="28"/>
          <w:szCs w:val="28"/>
        </w:rPr>
        <w:t xml:space="preserve">  -</w:t>
      </w:r>
      <w:r>
        <w:rPr>
          <w:color w:val="000000"/>
          <w:sz w:val="28"/>
          <w:szCs w:val="28"/>
        </w:rPr>
        <w:t xml:space="preserve"> 26,3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картофель и овощи</w:t>
      </w:r>
      <w:r>
        <w:rPr>
          <w:color w:val="000000"/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 xml:space="preserve">3,1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кормовых</w:t>
      </w:r>
      <w:r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17,6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в том числе многолетних трав</w:t>
      </w:r>
      <w:r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7,0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Структура посевных площадей и севооборотов постоянно совершенствуется. В связи с реорганизацией хозяйств и образованием новых структурных подразделений  ввод</w:t>
      </w:r>
      <w:r>
        <w:rPr>
          <w:color w:val="000000"/>
          <w:sz w:val="28"/>
          <w:szCs w:val="28"/>
        </w:rPr>
        <w:t xml:space="preserve">я</w:t>
      </w:r>
      <w:r>
        <w:rPr>
          <w:color w:val="000000"/>
          <w:sz w:val="28"/>
          <w:szCs w:val="28"/>
        </w:rPr>
        <w:t xml:space="preserve">тся и осваиваются новые севообороты.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both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Для увеличения валового сбора сельскохозяйственных культур применяется безотвальная обработки почвы, используется новая широкозахватная техника, увеличиваются объемы применения удобрений и химических средств защиты растений.   </w:t>
      </w:r>
      <w:r>
        <w:rPr>
          <w:color w:val="000000"/>
          <w:sz w:val="28"/>
          <w:szCs w:val="28"/>
        </w:rPr>
        <w:t xml:space="preserve">В 2011 году были оформлены выплаты субсидий на поддержку отдельных отраслей растениеводства (элитное семеноводство, компенсация части затрат на приобретение средств химизации, страхование).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животноводстве ускоряются процессы модернизации и перевода отрасли на новейшие технологии содержания скота и производства продукции.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2011 году произведено 54,4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тонн молока во всех категориях хозяйств, что на 33,7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больше, чем в 2007 году. Надой на 1 фуражную корову достиг 6 223 кг молока.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2006 года начались количественные и качественные перемены в животноводстве. В</w:t>
      </w:r>
      <w:r>
        <w:rPr>
          <w:color w:val="000000"/>
          <w:sz w:val="28"/>
          <w:szCs w:val="28"/>
        </w:rPr>
        <w:t xml:space="preserve"> рамках р</w:t>
      </w:r>
      <w:r>
        <w:rPr>
          <w:color w:val="000000"/>
          <w:sz w:val="28"/>
          <w:szCs w:val="28"/>
        </w:rPr>
        <w:t xml:space="preserve">еализации приоритетного национального проекта «Развитие АПК» и реализации областного проекта «Развитие молочного животноводства Белгородской области до 2010 года» в районе построены и работают два современных, технически оснащенных по европейскому образцу </w:t>
      </w:r>
      <w:r>
        <w:rPr>
          <w:color w:val="000000"/>
          <w:sz w:val="28"/>
          <w:szCs w:val="28"/>
        </w:rPr>
        <w:t xml:space="preserve">молочных комплекса компании ОАО «Молоко Белогорья» в селах Кочегуры и Лубяное</w:t>
      </w:r>
      <w:r>
        <w:rPr>
          <w:color w:val="000000"/>
          <w:sz w:val="28"/>
          <w:szCs w:val="28"/>
        </w:rPr>
        <w:t xml:space="preserve">-Первое</w:t>
      </w:r>
      <w:r>
        <w:rPr>
          <w:color w:val="000000"/>
          <w:sz w:val="28"/>
          <w:szCs w:val="28"/>
        </w:rPr>
        <w:t xml:space="preserve">. Благодаря строительству этих комплексов, район занимает одно из лидирующих позиций в области по производству молока в сутки на одну фуражную корову.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2007 году стартовала областная целевая программа «Семейные фермы Белогорья». В ходе реализации данной программы на территории района созданы и успешно работают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297 семейны</w:t>
      </w:r>
      <w:r>
        <w:rPr>
          <w:color w:val="000000"/>
          <w:sz w:val="28"/>
          <w:szCs w:val="28"/>
        </w:rPr>
        <w:t xml:space="preserve">х</w:t>
      </w:r>
      <w:r>
        <w:rPr>
          <w:color w:val="000000"/>
          <w:sz w:val="28"/>
          <w:szCs w:val="28"/>
        </w:rPr>
        <w:t xml:space="preserve"> фермы,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снабженческо</w:t>
      </w:r>
      <w:r>
        <w:rPr>
          <w:color w:val="000000"/>
          <w:sz w:val="28"/>
          <w:szCs w:val="28"/>
        </w:rPr>
        <w:t xml:space="preserve">-</w:t>
      </w:r>
      <w:r>
        <w:rPr>
          <w:color w:val="000000"/>
          <w:sz w:val="28"/>
          <w:szCs w:val="28"/>
        </w:rPr>
        <w:t xml:space="preserve">сбытовых сельскохозяйственных потребительских кооператива (</w:t>
      </w:r>
      <w:r>
        <w:rPr>
          <w:color w:val="000000"/>
          <w:sz w:val="28"/>
          <w:szCs w:val="28"/>
        </w:rPr>
        <w:t xml:space="preserve">СССПоК</w:t>
      </w:r>
      <w:r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 xml:space="preserve">Чернянское</w:t>
      </w:r>
      <w:r>
        <w:rPr>
          <w:color w:val="000000"/>
          <w:sz w:val="28"/>
          <w:szCs w:val="28"/>
        </w:rPr>
        <w:t xml:space="preserve"> Молоко»).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2011 году семейными фермами произведено сельскохозяйственной продукции на сумму 320,4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 Основную долю в массе реализуемой продукции семейных ферм составляет: растениеводство – 22,1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производство мяса – 41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молочное животноводство – 15,1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овощеводство – 16,3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пчеловодство – 5,2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Валовое производство мяса за 2011 год составило 5,0 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тонн, что меньше чем в 2007 году на 9,1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а среднесуточные привесы составили             473 грамма. Снижение производства мяса связано с увеличением поголовья молочного стада.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Под постоянным контролем администрации района находится развитие и повышение экономической стабильности крестьянских (фермерских) хозяйства, частных предпринимателей и личных подсобных хозяйств.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both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 xml:space="preserve">Н</w:t>
      </w:r>
      <w:r>
        <w:rPr>
          <w:color w:val="000000" w:themeColor="text1"/>
          <w:sz w:val="28"/>
          <w:szCs w:val="28"/>
        </w:rPr>
        <w:t xml:space="preserve">ас</w:t>
      </w:r>
      <w:r>
        <w:rPr>
          <w:color w:val="000000"/>
          <w:sz w:val="28"/>
          <w:szCs w:val="28"/>
        </w:rPr>
        <w:t xml:space="preserve">читывается 67 крестьянских (фермерских) хозяйств, которые занимаются в основном производством растениеводческой продукции, специализируются на выращивании зерновых, сахарной свеклы, подсолнечника, картофеля, овощей. Общая площадь пашни КФХ составляет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12 413 га или 16,2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пашни района. Наиболее крупные из них</w:t>
      </w:r>
      <w:r>
        <w:rPr>
          <w:color w:val="000000"/>
          <w:sz w:val="28"/>
          <w:szCs w:val="28"/>
        </w:rPr>
        <w:t xml:space="preserve">:</w:t>
      </w:r>
      <w:r>
        <w:rPr>
          <w:color w:val="000000"/>
          <w:sz w:val="28"/>
          <w:szCs w:val="28"/>
        </w:rPr>
        <w:t xml:space="preserve"> КФХ «</w:t>
      </w:r>
      <w:r>
        <w:rPr>
          <w:color w:val="000000"/>
          <w:sz w:val="28"/>
          <w:szCs w:val="28"/>
        </w:rPr>
        <w:t xml:space="preserve">Сукмановка</w:t>
      </w:r>
      <w:r>
        <w:rPr>
          <w:color w:val="000000"/>
          <w:sz w:val="28"/>
          <w:szCs w:val="28"/>
        </w:rPr>
        <w:t xml:space="preserve">» </w:t>
      </w:r>
      <w:r>
        <w:rPr>
          <w:color w:val="000000"/>
          <w:sz w:val="28"/>
          <w:szCs w:val="28"/>
        </w:rPr>
        <w:t xml:space="preserve">- 3 </w:t>
      </w:r>
      <w:r>
        <w:rPr>
          <w:color w:val="000000"/>
          <w:sz w:val="28"/>
          <w:szCs w:val="28"/>
        </w:rPr>
        <w:t xml:space="preserve">010 га</w:t>
      </w:r>
      <w:r>
        <w:rPr>
          <w:color w:val="000000"/>
          <w:sz w:val="28"/>
          <w:szCs w:val="28"/>
        </w:rPr>
        <w:t xml:space="preserve"> пашни</w:t>
      </w:r>
      <w:r>
        <w:rPr>
          <w:color w:val="000000"/>
          <w:sz w:val="28"/>
          <w:szCs w:val="28"/>
        </w:rPr>
        <w:t xml:space="preserve">, КФХ «Шанс» - 302.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2010 году на базе КФХ «Шанс» начал свою реализацию пилотн</w:t>
      </w:r>
      <w:r>
        <w:rPr>
          <w:color w:val="000000"/>
          <w:sz w:val="28"/>
          <w:szCs w:val="28"/>
        </w:rPr>
        <w:t xml:space="preserve">ый проект «Развитие производства и реализация картофеля и овощей», для расширения своего бизнеса и реализации данного пилотного проекта главе фермерского хозяйства областным фондом поддержки малого предпринимательства дан безвозмездный грант в размере 300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 для строительства теплицы</w:t>
      </w:r>
      <w:r>
        <w:rPr>
          <w:color w:val="000000"/>
          <w:sz w:val="28"/>
          <w:szCs w:val="28"/>
        </w:rPr>
        <w:t xml:space="preserve"> и реконструкции овощехранилища на 1000 тонн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Проект предусматривает производство 5234 тонны картофеля и овощей при выходе на проектную мощность стоимость произведенной продукции составит 50,4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Крестьянскими фермерскими хозяйствами в 2011 году произведено     65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тонн зерна при урожайности 27,4 ц/га, валовое производство сахарной свеклы составило 232,4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тонн при урожайности 335,9 ц/га., </w:t>
      </w:r>
      <w:r>
        <w:rPr>
          <w:color w:val="000000"/>
          <w:sz w:val="28"/>
          <w:szCs w:val="28"/>
        </w:rPr>
        <w:t xml:space="preserve">валовое производство подсолнечника составило 60,7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тонн при урожайности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17,8 ц/га.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проекта «Парное молоко»  работает </w:t>
      </w:r>
      <w:r>
        <w:rPr>
          <w:color w:val="000000"/>
          <w:sz w:val="28"/>
          <w:szCs w:val="28"/>
        </w:rPr>
        <w:t xml:space="preserve">СССПоК</w:t>
      </w:r>
      <w:r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 xml:space="preserve">Чернянское</w:t>
      </w:r>
      <w:r>
        <w:rPr>
          <w:color w:val="000000"/>
          <w:sz w:val="28"/>
          <w:szCs w:val="28"/>
        </w:rPr>
        <w:t xml:space="preserve"> молоко». Для эффективной работы кооператива приобретены 6 специализированных автомобилей и построены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 молокоприемных пункта в с.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Ольшанка и с. Андреевка. </w:t>
      </w:r>
      <w:r>
        <w:rPr>
          <w:color w:val="000000"/>
          <w:sz w:val="28"/>
          <w:szCs w:val="28"/>
        </w:rPr>
        <w:t xml:space="preserve">С начала 2011 года </w:t>
      </w:r>
      <w:r>
        <w:rPr>
          <w:color w:val="000000"/>
          <w:sz w:val="28"/>
          <w:szCs w:val="28"/>
        </w:rPr>
        <w:t xml:space="preserve">СССПоК</w:t>
      </w:r>
      <w:r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 xml:space="preserve">Чернянское</w:t>
      </w:r>
      <w:r>
        <w:rPr>
          <w:color w:val="000000"/>
          <w:sz w:val="28"/>
          <w:szCs w:val="28"/>
        </w:rPr>
        <w:t xml:space="preserve"> молоко» закуплено и реализовано 1862 тонны молока, с кооперативом сотрудничают 30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ЛПХ, содержащих коров.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территории работают 14 перерабатывающих инфраструктурных предприятия. В 2011 году они осуществили закуп сельскохозяйственной продукции на сумму 159,7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 и реализацию товаров и услуг на сумму 9,8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успешного развития семейных ферм </w:t>
      </w:r>
      <w:r>
        <w:rPr>
          <w:color w:val="000000"/>
          <w:sz w:val="28"/>
          <w:szCs w:val="28"/>
        </w:rPr>
        <w:t xml:space="preserve">и инфраструктурных</w:t>
      </w:r>
      <w:r>
        <w:rPr>
          <w:color w:val="000000"/>
          <w:sz w:val="28"/>
          <w:szCs w:val="28"/>
        </w:rPr>
        <w:t xml:space="preserve"> предприятий  в 2011 году привлечено инвестиций на сумму 79,8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, получено 90 субсидий на сумму 5,5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, создано 93 новых рабочих места, </w:t>
      </w:r>
      <w:r>
        <w:rPr>
          <w:color w:val="000000"/>
          <w:sz w:val="28"/>
          <w:szCs w:val="28"/>
        </w:rPr>
        <w:t xml:space="preserve">участникам программы выделено </w:t>
      </w:r>
      <w:r>
        <w:rPr>
          <w:color w:val="000000"/>
          <w:sz w:val="28"/>
          <w:szCs w:val="28"/>
        </w:rPr>
        <w:t xml:space="preserve">428 га</w:t>
      </w:r>
      <w:r>
        <w:rPr>
          <w:color w:val="000000"/>
          <w:sz w:val="28"/>
          <w:szCs w:val="28"/>
        </w:rPr>
        <w:t xml:space="preserve"> земли, подключено к электроснабжению 2 участника.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Большое внимание уделяется развитию ЛПХ.  В ЛПХ имеется 4 180 голов крупного рогатого скота, коров – 1 993 голов, свиней – 4 090 голов, кроме того, обрабатывается 3,0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га пашни.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 2011 год ЛПХ  освоено кредитных средств  в сумме 28,7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, получено субсидий на сумму 5,0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КФХ выдано 30 кредитов на сумму 45,7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, просубсиди</w:t>
      </w:r>
      <w:r>
        <w:rPr>
          <w:color w:val="000000"/>
          <w:sz w:val="28"/>
          <w:szCs w:val="28"/>
        </w:rPr>
        <w:t xml:space="preserve">ровано на сумму </w:t>
      </w:r>
      <w:r>
        <w:rPr>
          <w:color w:val="000000"/>
          <w:sz w:val="28"/>
          <w:szCs w:val="28"/>
        </w:rPr>
        <w:t xml:space="preserve">1,8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01.01.2012 год льготными кредитами воспользовались 1049 личных подсобных хозяйства и 46 крестьянских фермерских хозяйств. Общий объем привлеченных кредитных ресурсов составил более 250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 Сумма выплаченных субсидий из бюджетов всех уровней достигла 30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Согласно постановлению </w:t>
      </w:r>
      <w:r>
        <w:rPr>
          <w:color w:val="000000"/>
          <w:sz w:val="28"/>
          <w:szCs w:val="28"/>
        </w:rPr>
        <w:t xml:space="preserve">П</w:t>
      </w:r>
      <w:r>
        <w:rPr>
          <w:color w:val="000000"/>
          <w:sz w:val="28"/>
          <w:szCs w:val="28"/>
        </w:rPr>
        <w:t xml:space="preserve">равительства Белгородской области 1234 гражданина ведущих личное подсобное хозяйство получили безвозмездные средства на поддержку молочного животноводства в сумме 4,9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Согласно плану реализации Государственной программы технической и технологической модернизации сельского хозяйства на 2008-2012 годы хозяйствами района закуплена сельскохозяйственная техника на сумму</w:t>
      </w:r>
      <w:r>
        <w:rPr>
          <w:color w:val="000000"/>
          <w:sz w:val="28"/>
          <w:szCs w:val="28"/>
        </w:rPr>
        <w:t xml:space="preserve">                   </w:t>
      </w:r>
      <w:r>
        <w:rPr>
          <w:color w:val="000000"/>
          <w:sz w:val="28"/>
          <w:szCs w:val="28"/>
        </w:rPr>
        <w:t xml:space="preserve">163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2011 году проведено 84 ярмарки выходного дня, на которых реализовано продукции на сумму 4,3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1.3.3. Предпринимательская деятельность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последние годы в муниципальном образовании улучшается инвестиционная деятельность, формируется потенциал внутренних ресурсов, создаются условия для  эффективной работы малого предпринимательства</w:t>
      </w:r>
      <w:r>
        <w:rPr>
          <w:color w:val="000000"/>
          <w:sz w:val="28"/>
          <w:szCs w:val="28"/>
        </w:rPr>
        <w:t xml:space="preserve"> (таблица 36)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малом бизнесе по состоянию на 1 января 2012 года функционировало 47 малых предприятий. Осуществляют предпринимательскую деятельность 983 предпринимателей.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ind w:firstLine="72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br w:type="page" w:clear="all"/>
      </w:r>
      <w:r>
        <w:rPr>
          <w:i/>
          <w:color w:val="000000"/>
          <w:sz w:val="28"/>
          <w:szCs w:val="28"/>
        </w:rPr>
        <w:t xml:space="preserve">Таблица 3</w:t>
      </w:r>
      <w:r>
        <w:rPr>
          <w:i/>
          <w:color w:val="000000"/>
          <w:sz w:val="28"/>
          <w:szCs w:val="28"/>
        </w:rPr>
        <w:t xml:space="preserve">6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Основные показатели развития предприятий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малого бизнеса в МО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20"/>
        <w:jc w:val="center"/>
        <w:rPr>
          <w:b/>
          <w:color w:val="ff0000"/>
        </w:rPr>
      </w:pPr>
      <w:r>
        <w:rPr>
          <w:b/>
          <w:color w:val="ff0000"/>
        </w:rPr>
      </w:r>
      <w:r>
        <w:rPr>
          <w:b/>
          <w:color w:val="ff0000"/>
        </w:rPr>
      </w:r>
      <w:r>
        <w:rPr>
          <w:b/>
          <w:color w:val="ff0000"/>
        </w:rPr>
      </w:r>
    </w:p>
    <w:tbl>
      <w:tblPr>
        <w:tblW w:w="9553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455"/>
        <w:gridCol w:w="705"/>
        <w:gridCol w:w="806"/>
        <w:gridCol w:w="806"/>
        <w:gridCol w:w="889"/>
        <w:gridCol w:w="836"/>
        <w:gridCol w:w="1007"/>
        <w:gridCol w:w="1049"/>
      </w:tblGrid>
      <w:tr>
        <w:tblPrEx/>
        <w:trPr>
          <w:trHeight w:val="147"/>
          <w:tblHeader/>
        </w:trPr>
        <w:tc>
          <w:tcPr>
            <w:tcW w:w="3455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Показатели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705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Ед. изм.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06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2007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06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2008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89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2009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836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2010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07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2011 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год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  <w:tc>
          <w:tcPr>
            <w:tcW w:w="1049" w:type="dxa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Темп роста 2011 к 2007,</w:t>
            </w:r>
            <w:r>
              <w:rPr>
                <w:b/>
                <w:color w:val="000000"/>
              </w:rPr>
              <w:t xml:space="preserve">%</w:t>
            </w: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147"/>
        </w:trPr>
        <w:tc>
          <w:tcPr>
            <w:tcW w:w="3455" w:type="dxa"/>
            <w:textDirection w:val="lrTb"/>
            <w:noWrap w:val="false"/>
          </w:tcPr>
          <w:p>
            <w:pPr>
              <w:pStyle w:val="1034"/>
              <w:tabs>
                <w:tab w:val="clear" w:pos="4677" w:leader="none"/>
                <w:tab w:val="clear" w:pos="9355" w:leader="none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Количество работающих субъектов малого бизнеса по состоянию на конец года </w:t>
            </w:r>
            <w:r>
              <w:rPr>
                <w:color w:val="000000"/>
              </w:rPr>
              <w:t xml:space="preserve">–</w:t>
            </w:r>
            <w:r>
              <w:rPr>
                <w:color w:val="000000"/>
              </w:rPr>
              <w:t xml:space="preserve"> всего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0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ед.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684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8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703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3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1065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0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124,1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85"/>
        </w:trPr>
        <w:tc>
          <w:tcPr>
            <w:tcW w:w="3455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    в том числе: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0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8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3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0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836"/>
        </w:trPr>
        <w:tc>
          <w:tcPr>
            <w:tcW w:w="3455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- малые предприятия – юридические лица (по данным статистики)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0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ед.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8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3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55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0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111,9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836"/>
        </w:trPr>
        <w:tc>
          <w:tcPr>
            <w:tcW w:w="3455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- индивидуальные предприниматели – ИП (по данным налоговых органов)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0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ед.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788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8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3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1010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0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983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124,7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50"/>
        </w:trPr>
        <w:tc>
          <w:tcPr>
            <w:tcW w:w="3455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Среднесписочная численность работников в малом бизнесе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0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чел.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1478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8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1684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3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2005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0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1835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124,2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65"/>
        </w:trPr>
        <w:tc>
          <w:tcPr>
            <w:tcW w:w="3455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в</w:t>
            </w:r>
            <w:r>
              <w:rPr>
                <w:color w:val="000000"/>
              </w:rPr>
              <w:t xml:space="preserve"> том числе: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0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8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3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0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550"/>
        </w:trPr>
        <w:tc>
          <w:tcPr>
            <w:tcW w:w="3455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 xml:space="preserve">в </w:t>
            </w:r>
            <w:r>
              <w:rPr>
                <w:color w:val="000000"/>
              </w:rPr>
              <w:t xml:space="preserve">малые предприятия – юридические лица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0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чел.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448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615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8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754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3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0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621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138,6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265"/>
        </w:trPr>
        <w:tc>
          <w:tcPr>
            <w:tcW w:w="3455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-</w:t>
            </w:r>
            <w:r>
              <w:rPr>
                <w:color w:val="000000"/>
              </w:rPr>
              <w:t xml:space="preserve"> у</w:t>
            </w:r>
            <w:r>
              <w:rPr>
                <w:color w:val="000000"/>
              </w:rPr>
              <w:t xml:space="preserve"> ИП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0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чел.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1030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8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930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3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1391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0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1214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117,9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836"/>
        </w:trPr>
        <w:tc>
          <w:tcPr>
            <w:tcW w:w="3455" w:type="dxa"/>
            <w:textDirection w:val="lrTb"/>
            <w:noWrap w:val="false"/>
          </w:tcPr>
          <w:p>
            <w:r>
              <w:t xml:space="preserve">Среднемесячная номинальная начисленная заработная плата в малом бизнесе</w:t>
            </w:r>
            <w:r/>
          </w:p>
        </w:tc>
        <w:tc>
          <w:tcPr>
            <w:tcW w:w="70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руб</w:t>
            </w:r>
            <w:r/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5258</w:t>
            </w:r>
            <w:r/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9587</w:t>
            </w:r>
            <w:r/>
          </w:p>
        </w:tc>
        <w:tc>
          <w:tcPr>
            <w:tcW w:w="88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11513</w:t>
            </w:r>
            <w:r/>
          </w:p>
        </w:tc>
        <w:tc>
          <w:tcPr>
            <w:tcW w:w="83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14155</w:t>
            </w:r>
            <w:r/>
          </w:p>
        </w:tc>
        <w:tc>
          <w:tcPr>
            <w:tcW w:w="100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14971</w:t>
            </w:r>
            <w:r/>
          </w:p>
        </w:tc>
        <w:tc>
          <w:tcPr>
            <w:tcW w:w="104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 2,8 раза</w:t>
            </w:r>
            <w:r/>
          </w:p>
        </w:tc>
      </w:tr>
      <w:tr>
        <w:tblPrEx/>
        <w:trPr>
          <w:trHeight w:val="1101"/>
        </w:trPr>
        <w:tc>
          <w:tcPr>
            <w:tcW w:w="3455" w:type="dxa"/>
            <w:textDirection w:val="lrTb"/>
            <w:noWrap w:val="false"/>
          </w:tcPr>
          <w:p>
            <w:r>
              <w:t xml:space="preserve">Доля занятых в малом бизнесе, включая ИП, в общей численности занятых в экономике</w:t>
            </w:r>
            <w:r/>
          </w:p>
        </w:tc>
        <w:tc>
          <w:tcPr>
            <w:tcW w:w="70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%</w:t>
            </w:r>
            <w:r/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16,7</w:t>
            </w:r>
            <w:r/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18,7</w:t>
            </w:r>
            <w:r/>
          </w:p>
        </w:tc>
        <w:tc>
          <w:tcPr>
            <w:tcW w:w="88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20,9</w:t>
            </w:r>
            <w:r/>
          </w:p>
        </w:tc>
        <w:tc>
          <w:tcPr>
            <w:tcW w:w="83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23,7</w:t>
            </w:r>
            <w:r/>
          </w:p>
        </w:tc>
        <w:tc>
          <w:tcPr>
            <w:tcW w:w="100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22,4</w:t>
            </w:r>
            <w:r/>
          </w:p>
        </w:tc>
        <w:tc>
          <w:tcPr>
            <w:tcW w:w="104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134,1</w:t>
            </w:r>
            <w:r/>
          </w:p>
        </w:tc>
      </w:tr>
      <w:tr>
        <w:tblPrEx/>
        <w:trPr>
          <w:trHeight w:val="836"/>
        </w:trPr>
        <w:tc>
          <w:tcPr>
            <w:tcW w:w="3455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Оборот малых предприятий  - юридических лиц (в действующих ценах) 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0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млн.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руб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680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892,3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8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839,5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3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1136,5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0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915,7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134,7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  <w:tr>
        <w:tblPrEx/>
        <w:trPr>
          <w:trHeight w:val="836"/>
        </w:trPr>
        <w:tc>
          <w:tcPr>
            <w:tcW w:w="3455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Налоговые поступления от малого бизнеса в местный бюджет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705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млн.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руб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0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13,3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8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15,7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36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17,2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07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47,4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04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в 23,7 раза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</w:tbl>
    <w:p>
      <w:pPr>
        <w:ind w:firstLine="720"/>
        <w:jc w:val="both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  <w:r>
        <w:rPr>
          <w:color w:val="ff0000"/>
        </w:rPr>
      </w:r>
    </w:p>
    <w:p>
      <w:pPr>
        <w:ind w:firstLine="720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малом бизнесе в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2011 году было занято 1,8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человек. Численность работающих в малом бизнес</w:t>
      </w:r>
      <w:r>
        <w:rPr>
          <w:color w:val="000000"/>
          <w:sz w:val="28"/>
          <w:szCs w:val="28"/>
        </w:rPr>
        <w:t xml:space="preserve">е в 2011</w:t>
      </w:r>
      <w:r>
        <w:rPr>
          <w:color w:val="000000"/>
          <w:sz w:val="28"/>
          <w:szCs w:val="28"/>
        </w:rPr>
        <w:t xml:space="preserve"> году по сравнению с 2007 годом увеличилась на 24,2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. Доля</w:t>
      </w:r>
      <w:r>
        <w:rPr>
          <w:color w:val="000000"/>
          <w:sz w:val="28"/>
          <w:szCs w:val="28"/>
        </w:rPr>
        <w:t xml:space="preserve"> занятых в малом бизнесе в 2011 году в общей численности трудовых ресурсов составила </w:t>
      </w:r>
      <w:r>
        <w:rPr>
          <w:color w:val="000000"/>
          <w:sz w:val="28"/>
          <w:szCs w:val="28"/>
        </w:rPr>
        <w:t xml:space="preserve">22,4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от численности населения, занятого в экономике муниципального образования</w:t>
      </w:r>
      <w:r>
        <w:rPr>
          <w:color w:val="000000"/>
          <w:sz w:val="28"/>
          <w:szCs w:val="28"/>
        </w:rPr>
        <w:t xml:space="preserve">. Оборот предприятий малого бизнеса в 2011 году по сравнению с 2007 годом возрос на 34,7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. Доля малого бизнеса в общем объеме продукции, работ и услуг района за 2011 год составила 22,1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Среднемесячная номинальная начисленная заработная плата в малом бизнесе в 2011 году по сравнению с 2007 годом выросла в 2</w:t>
      </w:r>
      <w:r>
        <w:rPr>
          <w:color w:val="000000"/>
          <w:sz w:val="28"/>
          <w:szCs w:val="28"/>
        </w:rPr>
        <w:t xml:space="preserve">,8</w:t>
      </w:r>
      <w:r>
        <w:rPr>
          <w:color w:val="000000"/>
          <w:sz w:val="28"/>
          <w:szCs w:val="28"/>
        </w:rPr>
        <w:t xml:space="preserve"> раза.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Налоговые поступления от малого бизнеса в местный бюджет увеличились с 2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рублей</w:t>
      </w:r>
      <w:r>
        <w:rPr>
          <w:color w:val="000000"/>
          <w:sz w:val="28"/>
          <w:szCs w:val="28"/>
        </w:rPr>
        <w:t xml:space="preserve"> в 2007 год до</w:t>
      </w:r>
      <w:r>
        <w:rPr>
          <w:color w:val="000000"/>
          <w:sz w:val="28"/>
          <w:szCs w:val="28"/>
        </w:rPr>
        <w:t xml:space="preserve"> 47,4 </w:t>
      </w:r>
      <w:r>
        <w:rPr>
          <w:color w:val="000000"/>
          <w:sz w:val="28"/>
          <w:szCs w:val="28"/>
        </w:rPr>
        <w:t xml:space="preserve">млн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рублей</w:t>
      </w:r>
      <w:r>
        <w:rPr>
          <w:color w:val="000000"/>
          <w:sz w:val="28"/>
          <w:szCs w:val="28"/>
        </w:rPr>
        <w:t xml:space="preserve"> в 2011 году.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Количество малых предприятий по видам экономической деятельности в 2011 году выглядит следующим образом: 59,6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- оптовая и розничная торговля, 6,4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- оказание платных услуг, 8,5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- обрабатывающие производства, 8,5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транспорт и связь, 6,4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строительство, 10,6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прочие виды деятельности.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Развитие малого предпринимательства  осуществляется в соответствии с областной Программой развития и поддержки малого предпринимательства.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целью изучения общего состояния субъектов малого бизнеса, изучения мнения предпринимателей об эффективности организационной и финансово-кредитной поддержки предпринимательства правительством области, установления потребности малого бизнеса в </w:t>
      </w:r>
      <w:r>
        <w:rPr>
          <w:color w:val="000000"/>
          <w:sz w:val="28"/>
          <w:szCs w:val="28"/>
        </w:rPr>
        <w:t xml:space="preserve">инвестиционной и образовательной поддержке и проблем, тормозящих развитие бизнеса, проводится мониторинг состояния и тенденций развития малого предпринимательства, изучаются проблемные вопросы развития малого бизнеса, работает контактный «горячий телефон».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2009 года получено 9 грант</w:t>
      </w:r>
      <w:r>
        <w:rPr>
          <w:color w:val="000000"/>
          <w:sz w:val="28"/>
          <w:szCs w:val="28"/>
        </w:rPr>
        <w:t xml:space="preserve">ов начинающими предпринимателями на создание собственного бизнеса на приобретение сельскохозяйственных животных, оборудования, строительство помещения </w:t>
      </w:r>
      <w:r>
        <w:rPr>
          <w:color w:val="000000"/>
          <w:sz w:val="28"/>
          <w:szCs w:val="28"/>
        </w:rPr>
        <w:t xml:space="preserve">для скота</w:t>
      </w:r>
      <w:r>
        <w:rPr>
          <w:color w:val="000000"/>
          <w:sz w:val="28"/>
          <w:szCs w:val="28"/>
        </w:rPr>
        <w:t xml:space="preserve"> на общую сумму 2565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  <w:t xml:space="preserve">, в том числе в </w:t>
      </w:r>
      <w:r>
        <w:rPr>
          <w:color w:val="000000"/>
          <w:sz w:val="28"/>
          <w:szCs w:val="28"/>
        </w:rPr>
        <w:t xml:space="preserve">2011 году 6 грант</w:t>
      </w:r>
      <w:r>
        <w:rPr>
          <w:color w:val="000000"/>
          <w:sz w:val="28"/>
          <w:szCs w:val="28"/>
        </w:rPr>
        <w:t xml:space="preserve">ов на сумму 171</w:t>
      </w:r>
      <w:r>
        <w:rPr>
          <w:color w:val="000000"/>
          <w:sz w:val="28"/>
          <w:szCs w:val="28"/>
        </w:rPr>
        <w:t xml:space="preserve">5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руб.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47"/>
        <w:ind w:firstLine="720"/>
        <w:rPr>
          <w:color w:val="000000"/>
          <w:szCs w:val="28"/>
        </w:rPr>
      </w:pPr>
      <w:r>
        <w:rPr>
          <w:color w:val="000000"/>
          <w:szCs w:val="28"/>
        </w:rPr>
        <w:t xml:space="preserve">Через Фонд поддержки предпринимательства за 2011 года получили целевые займы на реализацию инвестиционных проектов 10 субъектов малого бизнеса на общую сумму 7800 </w:t>
      </w:r>
      <w:r>
        <w:rPr>
          <w:color w:val="000000"/>
          <w:szCs w:val="28"/>
        </w:rPr>
        <w:t xml:space="preserve">тыс.</w:t>
      </w:r>
      <w:r>
        <w:rPr>
          <w:color w:val="000000"/>
          <w:szCs w:val="28"/>
        </w:rPr>
        <w:t xml:space="preserve"> руб.</w:t>
      </w:r>
      <w:r>
        <w:rPr>
          <w:color w:val="000000"/>
          <w:szCs w:val="28"/>
        </w:rPr>
        <w:t xml:space="preserve">, в том числе: 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1047"/>
        <w:ind w:firstLine="720"/>
        <w:rPr>
          <w:color w:val="000000"/>
          <w:szCs w:val="28"/>
        </w:rPr>
      </w:pPr>
      <w:r>
        <w:rPr>
          <w:color w:val="000000"/>
          <w:szCs w:val="28"/>
        </w:rPr>
        <w:t xml:space="preserve">2 предпринимателя</w:t>
      </w:r>
      <w:r>
        <w:rPr>
          <w:color w:val="000000"/>
          <w:szCs w:val="28"/>
        </w:rPr>
        <w:t xml:space="preserve"> – на строительство магазина в сумме 2000 </w:t>
      </w:r>
      <w:r>
        <w:rPr>
          <w:color w:val="000000"/>
          <w:szCs w:val="28"/>
        </w:rPr>
        <w:t xml:space="preserve">тыс.</w:t>
      </w:r>
      <w:r>
        <w:rPr>
          <w:color w:val="000000"/>
          <w:szCs w:val="28"/>
        </w:rPr>
        <w:t xml:space="preserve"> руб.</w:t>
      </w:r>
      <w:r>
        <w:rPr>
          <w:color w:val="000000"/>
          <w:szCs w:val="28"/>
        </w:rPr>
        <w:t xml:space="preserve">;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1047"/>
        <w:ind w:firstLine="720"/>
        <w:rPr>
          <w:color w:val="000000"/>
          <w:szCs w:val="28"/>
        </w:rPr>
      </w:pPr>
      <w:r>
        <w:rPr>
          <w:color w:val="000000"/>
          <w:szCs w:val="28"/>
        </w:rPr>
        <w:t xml:space="preserve">6 предпринимателей – на пополнение оборотных средств в сумме                 3800 </w:t>
      </w:r>
      <w:r>
        <w:rPr>
          <w:color w:val="000000"/>
          <w:szCs w:val="28"/>
        </w:rPr>
        <w:t xml:space="preserve">тыс.</w:t>
      </w:r>
      <w:r>
        <w:rPr>
          <w:color w:val="000000"/>
          <w:szCs w:val="28"/>
        </w:rPr>
        <w:t xml:space="preserve"> руб.</w:t>
      </w:r>
      <w:r>
        <w:rPr>
          <w:color w:val="000000"/>
          <w:szCs w:val="28"/>
        </w:rPr>
        <w:t xml:space="preserve">; 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1047"/>
        <w:ind w:firstLine="720"/>
        <w:rPr>
          <w:color w:val="000000"/>
          <w:szCs w:val="28"/>
        </w:rPr>
      </w:pPr>
      <w:r>
        <w:rPr>
          <w:color w:val="000000"/>
          <w:szCs w:val="28"/>
        </w:rPr>
        <w:t xml:space="preserve">1 предприниматель – на приобретение КРС в сумме 1000 </w:t>
      </w:r>
      <w:r>
        <w:rPr>
          <w:color w:val="000000"/>
          <w:szCs w:val="28"/>
        </w:rPr>
        <w:t xml:space="preserve">тыс.</w:t>
      </w:r>
      <w:r>
        <w:rPr>
          <w:color w:val="000000"/>
          <w:szCs w:val="28"/>
        </w:rPr>
        <w:t xml:space="preserve"> руб.</w:t>
      </w:r>
      <w:r>
        <w:rPr>
          <w:color w:val="000000"/>
          <w:szCs w:val="28"/>
        </w:rPr>
        <w:t xml:space="preserve">; 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1047"/>
        <w:ind w:firstLine="720"/>
      </w:pPr>
      <w:r>
        <w:t xml:space="preserve">1 предприниматель – на приобретение оборудования в сумме</w:t>
      </w:r>
      <w:r>
        <w:t xml:space="preserve">                              1</w:t>
      </w:r>
      <w:r>
        <w:t xml:space="preserve">000 </w:t>
      </w:r>
      <w:r>
        <w:t xml:space="preserve">тыс.</w:t>
      </w:r>
      <w:r>
        <w:t xml:space="preserve"> руб.</w:t>
      </w:r>
      <w:r/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Целевые займы в 2011 году распределялись следующим образом: на строительство магазина – 25,6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на приобретение оборудования – 12,8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на приобретение оборудования и пополнение оборотных средств в сфере торговли и услуг  - 48,8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,  на развитие сельского хозяйства – 12,8</w:t>
      </w:r>
      <w:r>
        <w:rPr>
          <w:color w:val="000000"/>
          <w:sz w:val="28"/>
          <w:szCs w:val="28"/>
        </w:rPr>
        <w:t xml:space="preserve">%</w:t>
      </w:r>
      <w:r>
        <w:rPr>
          <w:color w:val="000000"/>
          <w:sz w:val="28"/>
          <w:szCs w:val="28"/>
        </w:rPr>
        <w:t xml:space="preserve">.</w:t>
      </w:r>
      <w:bookmarkStart w:id="3" w:name="_Toc170296210"/>
      <w:r/>
      <w:bookmarkStart w:id="4" w:name="_Toc178505714"/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1.3.4. Инновационный потенциал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284"/>
        <w:ind w:firstLine="709"/>
        <w:jc w:val="both"/>
        <w:spacing w:before="0" w:beforeAutospacing="0" w:after="0" w:afterAutospacing="0"/>
        <w:shd w:val="clear" w:color="auto" w:fill="ffffff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Инновационн</w:t>
      </w:r>
      <w:r>
        <w:rPr>
          <w:spacing w:val="2"/>
          <w:sz w:val="28"/>
          <w:szCs w:val="28"/>
        </w:rPr>
        <w:t xml:space="preserve">ое </w:t>
      </w:r>
      <w:r>
        <w:rPr>
          <w:spacing w:val="2"/>
          <w:sz w:val="28"/>
          <w:szCs w:val="28"/>
        </w:rPr>
        <w:t xml:space="preserve">развити</w:t>
      </w:r>
      <w:r>
        <w:rPr>
          <w:spacing w:val="2"/>
          <w:sz w:val="28"/>
          <w:szCs w:val="28"/>
        </w:rPr>
        <w:t xml:space="preserve">е</w:t>
      </w:r>
      <w:r>
        <w:rPr>
          <w:spacing w:val="2"/>
          <w:sz w:val="28"/>
          <w:szCs w:val="28"/>
        </w:rPr>
        <w:t xml:space="preserve"> муниципального образования</w:t>
      </w:r>
      <w:r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 xml:space="preserve">предусматривает возможность привлечения </w:t>
      </w:r>
      <w:r>
        <w:rPr>
          <w:spacing w:val="2"/>
          <w:sz w:val="28"/>
          <w:szCs w:val="28"/>
        </w:rPr>
        <w:t xml:space="preserve">дополнительных объемов </w:t>
      </w:r>
      <w:r>
        <w:rPr>
          <w:spacing w:val="2"/>
          <w:sz w:val="28"/>
          <w:szCs w:val="28"/>
        </w:rPr>
        <w:t xml:space="preserve">инвестиций, которые позволят произвести переориентацию основных сфер экономи</w:t>
      </w:r>
      <w:r>
        <w:rPr>
          <w:spacing w:val="2"/>
          <w:sz w:val="28"/>
          <w:szCs w:val="28"/>
        </w:rPr>
        <w:t xml:space="preserve">к</w:t>
      </w:r>
      <w:r>
        <w:rPr>
          <w:spacing w:val="2"/>
          <w:sz w:val="28"/>
          <w:szCs w:val="28"/>
        </w:rPr>
        <w:t xml:space="preserve">и и социального развития района на качественно новый, более высокий уровень.</w:t>
      </w:r>
      <w:r>
        <w:rPr>
          <w:spacing w:val="2"/>
          <w:sz w:val="28"/>
          <w:szCs w:val="28"/>
        </w:rPr>
      </w:r>
      <w:r>
        <w:rPr>
          <w:spacing w:val="2"/>
          <w:sz w:val="28"/>
          <w:szCs w:val="28"/>
        </w:rPr>
      </w:r>
    </w:p>
    <w:p>
      <w:pPr>
        <w:pStyle w:val="1284"/>
        <w:ind w:firstLine="709"/>
        <w:jc w:val="both"/>
        <w:spacing w:before="0" w:beforeAutospacing="0" w:after="0" w:afterAutospacing="0"/>
        <w:shd w:val="clear" w:color="auto" w:fill="ffffff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Использование имеющегося потенциала с применением новых технологий может привести промышленность </w:t>
      </w:r>
      <w:r>
        <w:rPr>
          <w:spacing w:val="2"/>
          <w:sz w:val="28"/>
          <w:szCs w:val="28"/>
        </w:rPr>
        <w:t xml:space="preserve">и</w:t>
      </w:r>
      <w:r>
        <w:rPr>
          <w:spacing w:val="2"/>
          <w:sz w:val="28"/>
          <w:szCs w:val="28"/>
        </w:rPr>
        <w:t xml:space="preserve"> сельское хозяйство к существенному увеличению добавленной стоимости. Технологические </w:t>
      </w:r>
      <w:r>
        <w:rPr>
          <w:spacing w:val="2"/>
          <w:sz w:val="28"/>
          <w:szCs w:val="28"/>
        </w:rPr>
        <w:t xml:space="preserve">инновации позволят снизить неблагоприятную нагрузку на окружающую среду и улучшить экологическую ситуацию в районе и уровень его благоустройства. Муниципальное образование</w:t>
      </w:r>
      <w:r>
        <w:rPr>
          <w:spacing w:val="2"/>
          <w:sz w:val="28"/>
          <w:szCs w:val="28"/>
        </w:rPr>
        <w:t xml:space="preserve"> станет более притягательным для жителей других территорий, миграционное сальдо обеспечит приток рабочей силы. Внедрение ресурсосберегающих технологий позволит снизить производственные издержки и повысить конкурентоспособность продукции предприятий района</w:t>
      </w:r>
      <w:r>
        <w:rPr>
          <w:spacing w:val="2"/>
          <w:sz w:val="28"/>
          <w:szCs w:val="28"/>
        </w:rPr>
        <w:t xml:space="preserve">,</w:t>
      </w:r>
      <w:r>
        <w:rPr>
          <w:spacing w:val="2"/>
          <w:sz w:val="28"/>
          <w:szCs w:val="28"/>
        </w:rPr>
        <w:t xml:space="preserve"> увелич</w:t>
      </w:r>
      <w:r>
        <w:rPr>
          <w:spacing w:val="2"/>
          <w:sz w:val="28"/>
          <w:szCs w:val="28"/>
        </w:rPr>
        <w:t xml:space="preserve">ить</w:t>
      </w:r>
      <w:r>
        <w:rPr>
          <w:spacing w:val="2"/>
          <w:sz w:val="28"/>
          <w:szCs w:val="28"/>
        </w:rPr>
        <w:t xml:space="preserve"> объемы производства. Улучшится ситуация на рынке труда, возрастет количество рабочих мест. </w:t>
      </w:r>
      <w:r>
        <w:rPr>
          <w:spacing w:val="2"/>
          <w:sz w:val="28"/>
          <w:szCs w:val="28"/>
        </w:rPr>
      </w:r>
      <w:r>
        <w:rPr>
          <w:spacing w:val="2"/>
          <w:sz w:val="28"/>
          <w:szCs w:val="28"/>
        </w:rPr>
      </w:r>
    </w:p>
    <w:p>
      <w:pPr>
        <w:pStyle w:val="1284"/>
        <w:ind w:firstLine="709"/>
        <w:jc w:val="both"/>
        <w:spacing w:before="0" w:beforeAutospacing="0" w:after="0" w:afterAutospacing="0"/>
        <w:shd w:val="clear" w:color="auto" w:fill="ffffff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Инновации в сфер</w:t>
      </w:r>
      <w:r>
        <w:rPr>
          <w:spacing w:val="2"/>
          <w:sz w:val="28"/>
          <w:szCs w:val="28"/>
        </w:rPr>
        <w:t xml:space="preserve">е</w:t>
      </w:r>
      <w:r>
        <w:rPr>
          <w:spacing w:val="2"/>
          <w:sz w:val="28"/>
          <w:szCs w:val="28"/>
        </w:rPr>
        <w:t xml:space="preserve"> образования и здравоохранения позволят создать условия для всестороннего развития личности и формирования здоровой, высококвалифицированной рабочей силы.</w:t>
      </w:r>
      <w:r>
        <w:rPr>
          <w:spacing w:val="2"/>
          <w:sz w:val="28"/>
          <w:szCs w:val="28"/>
        </w:rPr>
        <w:t xml:space="preserve"> </w:t>
      </w:r>
      <w:r>
        <w:rPr>
          <w:spacing w:val="2"/>
          <w:sz w:val="28"/>
          <w:szCs w:val="28"/>
        </w:rPr>
        <w:t xml:space="preserve">Инновации в управлении позволят находить перспективные решения сложно разрешимых проблем во всех сферах деятельности, повысить инвестиционную привлекательность района. </w:t>
      </w:r>
      <w:r>
        <w:rPr>
          <w:spacing w:val="2"/>
          <w:sz w:val="28"/>
          <w:szCs w:val="28"/>
        </w:rPr>
      </w:r>
      <w:r>
        <w:rPr>
          <w:spacing w:val="2"/>
          <w:sz w:val="28"/>
          <w:szCs w:val="28"/>
        </w:rPr>
      </w:r>
    </w:p>
    <w:p>
      <w:pPr>
        <w:pStyle w:val="1284"/>
        <w:ind w:firstLine="709"/>
        <w:jc w:val="both"/>
        <w:spacing w:before="0" w:beforeAutospacing="0" w:after="0" w:afterAutospacing="0"/>
        <w:shd w:val="clear" w:color="auto" w:fill="ffffff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Все это</w:t>
      </w:r>
      <w:r>
        <w:rPr>
          <w:spacing w:val="2"/>
          <w:sz w:val="28"/>
          <w:szCs w:val="28"/>
        </w:rPr>
        <w:t xml:space="preserve"> позволит выйти на более высокие темпы экономичес</w:t>
      </w:r>
      <w:r>
        <w:rPr>
          <w:spacing w:val="2"/>
          <w:sz w:val="28"/>
          <w:szCs w:val="28"/>
        </w:rPr>
        <w:t xml:space="preserve">кого роста, чем предыдущие. Успех экономического роста будет определяться как применением программно-стратегического подхода к развитию ведущих секторов экономики, так и модернизацией традиционных секторов под воздействием конкуренции и частных инвесторов.</w:t>
      </w:r>
      <w:r>
        <w:rPr>
          <w:spacing w:val="2"/>
          <w:sz w:val="28"/>
          <w:szCs w:val="28"/>
        </w:rPr>
      </w:r>
      <w:r>
        <w:rPr>
          <w:spacing w:val="2"/>
          <w:sz w:val="28"/>
          <w:szCs w:val="28"/>
        </w:rPr>
      </w:r>
    </w:p>
    <w:p>
      <w:pPr>
        <w:pStyle w:val="102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показатели инновационного потенциала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приведены в таблице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37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708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Таблица 37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pStyle w:val="102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Основные показатели инновационного потенциала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</w:r>
    </w:p>
    <w:p>
      <w:pPr>
        <w:pStyle w:val="102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муниципального образования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</w:r>
    </w:p>
    <w:p>
      <w:pPr>
        <w:pStyle w:val="102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tbl>
      <w:tblPr>
        <w:tblW w:w="97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675"/>
        <w:gridCol w:w="2513"/>
        <w:gridCol w:w="1005"/>
        <w:gridCol w:w="992"/>
        <w:gridCol w:w="993"/>
        <w:gridCol w:w="992"/>
        <w:gridCol w:w="992"/>
        <w:gridCol w:w="1585"/>
      </w:tblGrid>
      <w:tr>
        <w:tblPrEx/>
        <w:trPr>
          <w:tblHeader/>
        </w:trPr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pStyle w:val="1028"/>
              <w:ind w:left="-284" w:right="-249" w:firstLine="3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1028"/>
              <w:ind w:left="-284" w:right="-249" w:firstLine="31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п/п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2513" w:type="dxa"/>
            <w:vAlign w:val="center"/>
            <w:textDirection w:val="lrTb"/>
            <w:noWrap w:val="false"/>
          </w:tcPr>
          <w:p>
            <w:pPr>
              <w:pStyle w:val="1028"/>
              <w:ind w:right="-82" w:firstLine="34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Показатели,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ед.изм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1005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2012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2013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993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2014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2015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2016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1585" w:type="dxa"/>
            <w:vAlign w:val="center"/>
            <w:textDirection w:val="lrTb"/>
            <w:noWrap w:val="false"/>
          </w:tcPr>
          <w:p>
            <w:pPr>
              <w:pStyle w:val="1028"/>
              <w:ind w:left="-82" w:right="-82" w:hanging="142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Темп роста 2016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г. к 2012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г.,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%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675" w:type="dxa"/>
            <w:textDirection w:val="lrTb"/>
            <w:noWrap w:val="false"/>
          </w:tcPr>
          <w:p>
            <w:pPr>
              <w:pStyle w:val="1028"/>
              <w:ind w:left="-284" w:right="-249" w:firstLine="3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2513" w:type="dxa"/>
            <w:textDirection w:val="lrTb"/>
            <w:noWrap w:val="false"/>
          </w:tcPr>
          <w:p>
            <w:pPr>
              <w:pStyle w:val="1028"/>
              <w:ind w:right="-82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Число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инновационно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-активных организаций, ед.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1005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993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1585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675" w:type="dxa"/>
            <w:textDirection w:val="lrTb"/>
            <w:noWrap w:val="false"/>
          </w:tcPr>
          <w:p>
            <w:pPr>
              <w:pStyle w:val="1028"/>
              <w:ind w:left="-284" w:right="-249" w:firstLine="3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2513" w:type="dxa"/>
            <w:textDirection w:val="lrTb"/>
            <w:noWrap w:val="false"/>
          </w:tcPr>
          <w:p>
            <w:pPr>
              <w:pStyle w:val="1028"/>
              <w:ind w:right="-82" w:firstLine="3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 отгруженных инновационных товаров, работ, услуг,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тыс.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руб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1005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993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650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shd w:val="clear" w:color="auto" w:fill="auto"/>
            <w:tcW w:w="1585" w:type="dxa"/>
            <w:vAlign w:val="center"/>
            <w:textDirection w:val="lrTb"/>
            <w:noWrap w:val="false"/>
          </w:tcPr>
          <w:p>
            <w:pPr>
              <w:pStyle w:val="1028"/>
              <w:ind w:left="-142" w:right="-82" w:firstLine="7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</w:tr>
    </w:tbl>
    <w:p>
      <w:pPr>
        <w:pStyle w:val="1284"/>
        <w:ind w:firstLine="709"/>
        <w:jc w:val="both"/>
        <w:spacing w:before="0" w:beforeAutospacing="0" w:after="0" w:afterAutospacing="0" w:line="315" w:lineRule="atLeast"/>
        <w:shd w:val="clear" w:color="auto" w:fill="ffffff"/>
        <w:rPr>
          <w:color w:val="c00000"/>
          <w:spacing w:val="2"/>
          <w:sz w:val="28"/>
          <w:szCs w:val="28"/>
        </w:rPr>
      </w:pPr>
      <w:r>
        <w:rPr>
          <w:color w:val="c00000"/>
          <w:spacing w:val="2"/>
          <w:sz w:val="28"/>
          <w:szCs w:val="28"/>
        </w:rPr>
      </w:r>
      <w:r>
        <w:rPr>
          <w:color w:val="c00000"/>
          <w:spacing w:val="2"/>
          <w:sz w:val="28"/>
          <w:szCs w:val="28"/>
        </w:rPr>
      </w:r>
      <w:r>
        <w:rPr>
          <w:color w:val="c00000"/>
          <w:spacing w:val="2"/>
          <w:sz w:val="28"/>
          <w:szCs w:val="28"/>
        </w:rPr>
      </w:r>
    </w:p>
    <w:p>
      <w:pPr>
        <w:pStyle w:val="1284"/>
        <w:ind w:firstLine="709"/>
        <w:jc w:val="both"/>
        <w:spacing w:before="0" w:beforeAutospacing="0" w:after="0" w:afterAutospacing="0"/>
        <w:shd w:val="clear" w:color="auto" w:fill="ffffff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Из таблицы видно, что и</w:t>
      </w:r>
      <w:r>
        <w:rPr>
          <w:spacing w:val="2"/>
          <w:sz w:val="28"/>
          <w:szCs w:val="28"/>
        </w:rPr>
        <w:t xml:space="preserve">нновационная деятельность  </w:t>
      </w:r>
      <w:r>
        <w:rPr>
          <w:spacing w:val="2"/>
          <w:sz w:val="28"/>
          <w:szCs w:val="28"/>
        </w:rPr>
        <w:t xml:space="preserve">только начинает активизироваться, носит </w:t>
      </w:r>
      <w:r>
        <w:rPr>
          <w:spacing w:val="2"/>
          <w:sz w:val="28"/>
          <w:szCs w:val="28"/>
        </w:rPr>
        <w:t xml:space="preserve">локальный характер, характеризуется слабым ресурсным обеспечением, информационным и правовым сопровождением и высоким уровнем риска. </w:t>
      </w:r>
      <w:r>
        <w:rPr>
          <w:spacing w:val="2"/>
          <w:sz w:val="28"/>
          <w:szCs w:val="28"/>
        </w:rPr>
        <w:t xml:space="preserve">Однако  уже есть</w:t>
      </w:r>
      <w:r>
        <w:rPr>
          <w:spacing w:val="2"/>
          <w:sz w:val="28"/>
          <w:szCs w:val="28"/>
        </w:rPr>
        <w:t xml:space="preserve"> ориентиры и направления для долгосрочного планирования разработок и внедрения инноваций</w:t>
      </w:r>
      <w:r>
        <w:rPr>
          <w:spacing w:val="2"/>
          <w:sz w:val="28"/>
          <w:szCs w:val="28"/>
        </w:rPr>
        <w:t xml:space="preserve"> и </w:t>
      </w:r>
      <w:r>
        <w:rPr>
          <w:spacing w:val="2"/>
          <w:sz w:val="28"/>
          <w:szCs w:val="28"/>
        </w:rPr>
        <w:t xml:space="preserve">новы</w:t>
      </w:r>
      <w:r>
        <w:rPr>
          <w:spacing w:val="2"/>
          <w:sz w:val="28"/>
          <w:szCs w:val="28"/>
        </w:rPr>
        <w:t xml:space="preserve">х </w:t>
      </w:r>
      <w:r>
        <w:rPr>
          <w:spacing w:val="2"/>
          <w:sz w:val="28"/>
          <w:szCs w:val="28"/>
        </w:rPr>
        <w:t xml:space="preserve">технологи</w:t>
      </w:r>
      <w:r>
        <w:rPr>
          <w:spacing w:val="2"/>
          <w:sz w:val="28"/>
          <w:szCs w:val="28"/>
        </w:rPr>
        <w:t xml:space="preserve">й в </w:t>
      </w:r>
      <w:r>
        <w:rPr>
          <w:spacing w:val="2"/>
          <w:sz w:val="28"/>
          <w:szCs w:val="28"/>
        </w:rPr>
        <w:t xml:space="preserve">производств</w:t>
      </w:r>
      <w:r>
        <w:rPr>
          <w:spacing w:val="2"/>
          <w:sz w:val="28"/>
          <w:szCs w:val="28"/>
        </w:rPr>
        <w:t xml:space="preserve">е</w:t>
      </w:r>
      <w:r>
        <w:rPr>
          <w:spacing w:val="2"/>
          <w:sz w:val="28"/>
          <w:szCs w:val="28"/>
        </w:rPr>
        <w:t xml:space="preserve">. </w:t>
      </w:r>
      <w:r>
        <w:rPr>
          <w:spacing w:val="2"/>
          <w:sz w:val="28"/>
          <w:szCs w:val="28"/>
        </w:rPr>
      </w:r>
      <w:r>
        <w:rPr>
          <w:spacing w:val="2"/>
          <w:sz w:val="28"/>
          <w:szCs w:val="28"/>
        </w:rPr>
      </w:r>
    </w:p>
    <w:p>
      <w:pPr>
        <w:pStyle w:val="1284"/>
        <w:ind w:firstLine="709"/>
        <w:jc w:val="both"/>
        <w:spacing w:before="0" w:beforeAutospacing="0" w:after="0" w:afterAutospacing="0"/>
        <w:shd w:val="clear" w:color="auto" w:fill="ffffff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</w:r>
      <w:bookmarkEnd w:id="3"/>
      <w:r/>
      <w:bookmarkEnd w:id="4"/>
      <w:r>
        <w:rPr>
          <w:spacing w:val="2"/>
          <w:sz w:val="28"/>
          <w:szCs w:val="28"/>
        </w:rPr>
      </w:r>
      <w:r>
        <w:rPr>
          <w:spacing w:val="2"/>
          <w:sz w:val="28"/>
          <w:szCs w:val="28"/>
        </w:rPr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 w:clear="all"/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1.3.5.Т</w:t>
      </w:r>
      <w:r>
        <w:rPr>
          <w:b/>
          <w:sz w:val="28"/>
          <w:szCs w:val="28"/>
        </w:rPr>
        <w:t xml:space="preserve">уристско-рекреационный потенциал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113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widowControl w:val="off"/>
        <w:rPr>
          <w:sz w:val="28"/>
          <w:szCs w:val="28"/>
        </w:rPr>
      </w:pPr>
      <w:r>
        <w:rPr>
          <w:bCs/>
          <w:sz w:val="28"/>
          <w:szCs w:val="28"/>
        </w:rPr>
        <w:t xml:space="preserve">В рамках муниципал</w:t>
      </w:r>
      <w:r>
        <w:rPr>
          <w:bCs/>
          <w:sz w:val="28"/>
          <w:szCs w:val="28"/>
        </w:rPr>
        <w:t xml:space="preserve">ьной программы «Развитие экономического потенциала и формирование благоприятного предпринимательского климата в Чернянском муниципальном округе Белгородской области» реализуется подпрограмма «Развитие туризма в Чернянском муниципальном округе», которая нацелена на ф</w:t>
      </w:r>
      <w:r>
        <w:rPr>
          <w:sz w:val="28"/>
          <w:szCs w:val="28"/>
        </w:rPr>
        <w:t xml:space="preserve">ормирование на территории муниципалитета конкурентоспособного туристско-рекреационного кластера,</w:t>
      </w:r>
      <w:r>
        <w:rPr>
          <w:spacing w:val="2"/>
          <w:sz w:val="28"/>
          <w:szCs w:val="28"/>
          <w:shd w:val="clear" w:color="auto" w:fill="ffffff"/>
        </w:rPr>
        <w:t xml:space="preserve"> обеспечивающего не только устойчивое развитие отрасли и повышение конкурентоспособности туристского рынка в средне- и долгосрочной перспективе, но и повышение инвестиционной привлекательности территорий.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tabs>
          <w:tab w:val="left" w:pos="4080" w:leader="none"/>
        </w:tabs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Холковский</w:t>
      </w:r>
      <w:r>
        <w:rPr>
          <w:sz w:val="28"/>
          <w:szCs w:val="28"/>
          <w:shd w:val="clear" w:color="auto" w:fill="ffffff"/>
        </w:rPr>
        <w:t xml:space="preserve"> мужской Свято-Троицкий монастырь, памятники архитектуры и природы, православные храмы, рекреационные зоны, объекты спорта, уникальные фольклорные традиции, живописная местно</w:t>
      </w:r>
      <w:r>
        <w:rPr>
          <w:sz w:val="28"/>
          <w:szCs w:val="28"/>
          <w:shd w:val="clear" w:color="auto" w:fill="ffffff"/>
        </w:rPr>
        <w:t xml:space="preserve">сть и многое другое</w:t>
      </w:r>
      <w:r>
        <w:rPr>
          <w:sz w:val="28"/>
          <w:szCs w:val="28"/>
          <w:shd w:val="clear" w:color="auto" w:fill="ffffff"/>
        </w:rPr>
        <w:t xml:space="preserve"> позволяют рассматривать внутренний туризм на территории района как одно из перспективных направлений социально-экономического развития. </w:t>
      </w:r>
      <w:r>
        <w:rPr>
          <w:sz w:val="28"/>
          <w:szCs w:val="28"/>
          <w:shd w:val="clear" w:color="auto" w:fill="ffffff"/>
        </w:rPr>
        <w:t xml:space="preserve">Основные </w:t>
      </w:r>
      <w:r>
        <w:rPr>
          <w:sz w:val="28"/>
          <w:szCs w:val="28"/>
          <w:shd w:val="clear" w:color="auto" w:fill="ffffff"/>
        </w:rPr>
        <w:t xml:space="preserve">показатели </w:t>
      </w:r>
      <w:r>
        <w:rPr>
          <w:sz w:val="28"/>
          <w:szCs w:val="28"/>
        </w:rPr>
        <w:t xml:space="preserve">туристско-рекреационного потенциала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приведены в таблице.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right"/>
        <w:tabs>
          <w:tab w:val="left" w:pos="4080" w:leader="none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38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10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показатели туристско-рекреационного потенциала муниципального образования*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102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  <w:r>
        <w:rPr>
          <w:rFonts w:ascii="Times New Roman" w:hAnsi="Times New Roman" w:cs="Times New Roman"/>
          <w:i/>
          <w:sz w:val="28"/>
          <w:szCs w:val="28"/>
        </w:rPr>
      </w:r>
    </w:p>
    <w:tbl>
      <w:tblPr>
        <w:tblW w:w="97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675"/>
        <w:gridCol w:w="3402"/>
        <w:gridCol w:w="851"/>
        <w:gridCol w:w="850"/>
        <w:gridCol w:w="851"/>
        <w:gridCol w:w="850"/>
        <w:gridCol w:w="851"/>
        <w:gridCol w:w="1417"/>
      </w:tblGrid>
      <w:tr>
        <w:tblPrEx/>
        <w:trPr>
          <w:tblHeader/>
        </w:trPr>
        <w:tc>
          <w:tcPr>
            <w:shd w:val="clear" w:color="auto" w:fill="auto"/>
            <w:tcW w:w="675" w:type="dxa"/>
            <w:vAlign w:val="center"/>
            <w:textDirection w:val="lrTb"/>
            <w:noWrap w:val="false"/>
          </w:tcPr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3402" w:type="dxa"/>
            <w:vAlign w:val="center"/>
            <w:textDirection w:val="lrTb"/>
            <w:noWrap w:val="false"/>
          </w:tcPr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Показатели, ед. изм.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vAlign w:val="center"/>
            <w:textDirection w:val="lrTb"/>
            <w:noWrap w:val="false"/>
          </w:tcPr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vAlign w:val="center"/>
            <w:textDirection w:val="lrTb"/>
            <w:noWrap w:val="false"/>
          </w:tcPr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Темп роста 2016г. к 2012г.,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675" w:type="dxa"/>
            <w:textDirection w:val="lrTb"/>
            <w:noWrap w:val="false"/>
          </w:tcPr>
          <w:p>
            <w:pPr>
              <w:pStyle w:val="1028"/>
              <w:ind w:left="-142" w:right="-25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40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Объем туристских услуг, млн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 рублей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107,1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tblHeader/>
        </w:trPr>
        <w:tc>
          <w:tcPr>
            <w:shd w:val="clear" w:color="auto" w:fill="auto"/>
            <w:tcW w:w="675" w:type="dxa"/>
            <w:textDirection w:val="lrTb"/>
            <w:noWrap w:val="false"/>
          </w:tcPr>
          <w:p>
            <w:pPr>
              <w:pStyle w:val="1028"/>
              <w:ind w:left="-142" w:right="-25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40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Услуги коллективных средств размещения, млн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  <w:t xml:space="preserve"> рублей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eastAsia="en-US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675" w:type="dxa"/>
            <w:textDirection w:val="lrTb"/>
            <w:noWrap w:val="false"/>
          </w:tcPr>
          <w:p>
            <w:pPr>
              <w:pStyle w:val="1028"/>
              <w:ind w:left="-142" w:right="-25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402" w:type="dxa"/>
            <w:textDirection w:val="lrTb"/>
            <w:noWrap w:val="false"/>
          </w:tcPr>
          <w:p>
            <w:pPr>
              <w:pStyle w:val="1285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Турист</w:t>
            </w:r>
            <w:r>
              <w:rPr>
                <w:color w:val="auto"/>
              </w:rPr>
              <w:t xml:space="preserve">ский и экскурсионный поток, </w:t>
            </w:r>
            <w:r>
              <w:rPr>
                <w:color w:val="auto"/>
              </w:rPr>
              <w:t xml:space="preserve">тыс.</w:t>
            </w:r>
            <w:r>
              <w:rPr>
                <w:color w:val="auto"/>
              </w:rPr>
              <w:t xml:space="preserve"> человек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51,1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1,8 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675" w:type="dxa"/>
            <w:textDirection w:val="lrTb"/>
            <w:noWrap w:val="false"/>
          </w:tcPr>
          <w:p>
            <w:pPr>
              <w:pStyle w:val="1028"/>
              <w:ind w:left="-142" w:right="-25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402" w:type="dxa"/>
            <w:textDirection w:val="lrTb"/>
            <w:noWrap w:val="false"/>
          </w:tcPr>
          <w:p>
            <w:pPr>
              <w:pStyle w:val="1028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реализуем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ых проектов в сфере туризма,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pStyle w:val="1028"/>
              <w:ind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W w:w="675" w:type="dxa"/>
            <w:textDirection w:val="lrTb"/>
            <w:noWrap w:val="false"/>
          </w:tcPr>
          <w:p>
            <w:pPr>
              <w:pStyle w:val="1028"/>
              <w:ind w:left="-142" w:right="-250" w:hanging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3402" w:type="dxa"/>
            <w:textDirection w:val="lrTb"/>
            <w:noWrap w:val="false"/>
          </w:tcPr>
          <w:p>
            <w:pPr>
              <w:pStyle w:val="1028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стоимость реализуемы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проектов в сфере туризма,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0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851" w:type="dxa"/>
            <w:vAlign w:val="center"/>
            <w:textDirection w:val="lrTb"/>
            <w:noWrap w:val="false"/>
          </w:tcPr>
          <w:p>
            <w:pPr>
              <w:pStyle w:val="1028"/>
              <w:ind w:left="-108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W w:w="1417" w:type="dxa"/>
            <w:vAlign w:val="center"/>
            <w:textDirection w:val="lrTb"/>
            <w:noWrap w:val="false"/>
          </w:tcPr>
          <w:p>
            <w:pPr>
              <w:pStyle w:val="1028"/>
              <w:ind w:left="-108" w:right="-108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rPr>
          <w:i/>
          <w:color w:val="000000"/>
          <w:sz w:val="22"/>
          <w:szCs w:val="22"/>
        </w:rPr>
      </w:pPr>
      <w:r>
        <w:rPr>
          <w:sz w:val="28"/>
          <w:szCs w:val="28"/>
          <w:shd w:val="clear" w:color="auto" w:fill="ffffff"/>
        </w:rPr>
        <w:tab/>
      </w:r>
      <w:r>
        <w:rPr>
          <w:i/>
          <w:color w:val="000000"/>
          <w:sz w:val="22"/>
          <w:szCs w:val="22"/>
        </w:rPr>
        <w:t xml:space="preserve">* По данным администрации муниципального района «Чернянский район»</w:t>
      </w:r>
      <w:r>
        <w:rPr>
          <w:i/>
          <w:color w:val="000000"/>
          <w:sz w:val="22"/>
          <w:szCs w:val="22"/>
        </w:rPr>
      </w:r>
      <w:r>
        <w:rPr>
          <w:i/>
          <w:color w:val="000000"/>
          <w:sz w:val="22"/>
          <w:szCs w:val="22"/>
        </w:rPr>
      </w:r>
    </w:p>
    <w:p>
      <w:pPr>
        <w:ind w:firstLine="34"/>
        <w:jc w:val="both"/>
        <w:tabs>
          <w:tab w:val="left" w:pos="567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34"/>
        <w:jc w:val="both"/>
        <w:tabs>
          <w:tab w:val="left" w:pos="567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Туристский и экскурсионный поток на территории муниципального образования характеризуется устойчивым ростом. За период с 2012 года по 2016 год он увеличился на 75% или на 24,4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человек. </w:t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34"/>
        <w:jc w:val="both"/>
        <w:tabs>
          <w:tab w:val="left" w:pos="567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  <w:t xml:space="preserve">Основным туристским объектом является </w:t>
      </w:r>
      <w:r>
        <w:rPr>
          <w:sz w:val="28"/>
          <w:szCs w:val="28"/>
          <w:shd w:val="clear" w:color="auto" w:fill="ffffff"/>
        </w:rPr>
        <w:t xml:space="preserve">историко</w:t>
      </w:r>
      <w:r>
        <w:rPr>
          <w:sz w:val="28"/>
          <w:szCs w:val="28"/>
          <w:shd w:val="clear" w:color="auto" w:fill="ffffff"/>
        </w:rPr>
        <w:t xml:space="preserve">–архитектурный комплекс «Свято-Троицкий </w:t>
      </w:r>
      <w:r>
        <w:rPr>
          <w:sz w:val="28"/>
          <w:szCs w:val="28"/>
          <w:shd w:val="clear" w:color="auto" w:fill="ffffff"/>
        </w:rPr>
        <w:t xml:space="preserve">Холковский</w:t>
      </w:r>
      <w:r>
        <w:rPr>
          <w:sz w:val="28"/>
          <w:szCs w:val="28"/>
          <w:shd w:val="clear" w:color="auto" w:fill="ffffff"/>
        </w:rPr>
        <w:t xml:space="preserve"> подземный монастырь», который включает подземный монастырь, Храм Донской иконы Божьей Матери, храм-звонницу Святого равноапостольного князя Владимира, последнюю работу скульптора </w:t>
      </w:r>
      <w:r>
        <w:rPr>
          <w:sz w:val="28"/>
          <w:szCs w:val="28"/>
          <w:shd w:val="clear" w:color="auto" w:fill="ffffff"/>
        </w:rPr>
        <w:t xml:space="preserve">В.Клыкова</w:t>
      </w:r>
      <w:r>
        <w:rPr>
          <w:sz w:val="28"/>
          <w:szCs w:val="28"/>
          <w:shd w:val="clear" w:color="auto" w:fill="ffffff"/>
        </w:rPr>
        <w:t xml:space="preserve"> – памятник Святославу Храброму. Из </w:t>
      </w:r>
      <w:r>
        <w:rPr>
          <w:sz w:val="28"/>
          <w:szCs w:val="28"/>
          <w:shd w:val="clear" w:color="auto" w:fill="ffffff"/>
        </w:rPr>
        <w:t xml:space="preserve">холковких</w:t>
      </w:r>
      <w:r>
        <w:rPr>
          <w:sz w:val="28"/>
          <w:szCs w:val="28"/>
          <w:shd w:val="clear" w:color="auto" w:fill="ffffff"/>
        </w:rPr>
        <w:t xml:space="preserve"> холмов, на которых расположен </w:t>
      </w:r>
      <w:r>
        <w:rPr>
          <w:sz w:val="28"/>
          <w:szCs w:val="28"/>
          <w:shd w:val="clear" w:color="auto" w:fill="ffffff"/>
        </w:rPr>
        <w:t xml:space="preserve">историко</w:t>
      </w:r>
      <w:r>
        <w:rPr>
          <w:sz w:val="28"/>
          <w:szCs w:val="28"/>
          <w:shd w:val="clear" w:color="auto" w:fill="ffffff"/>
        </w:rPr>
        <w:t xml:space="preserve">–архитектурный комплекс, открывается живописная панорама реки Оскол.</w:t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34"/>
        <w:jc w:val="both"/>
        <w:tabs>
          <w:tab w:val="left" w:pos="567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Интересными для туристов объектами являются: краеведческий музей в п. Чернянка, дом купца Найденко в п. Чернянка, Троицкий храм в с. Гнилое (1863 г.), Покровская церковь в с. Захарово (1911 г.), Троицкий храм в </w:t>
      </w:r>
      <w:r>
        <w:rPr>
          <w:sz w:val="28"/>
          <w:szCs w:val="28"/>
          <w:shd w:val="clear" w:color="auto" w:fill="ffffff"/>
        </w:rPr>
        <w:t xml:space="preserve">с. Становое (1855 г.), липовая аллея на хуторе Коммуна, возраст деревьев которой свыше 100 лет. На Меловой горе у реки Оскол растет около 300 реликтовых сосен, высотой более 30 метров – вид, сохранившийся с ледникового периода и занесенный в Красную книгу.</w:t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Д</w:t>
      </w:r>
      <w:r>
        <w:rPr>
          <w:sz w:val="28"/>
          <w:szCs w:val="28"/>
        </w:rPr>
        <w:t xml:space="preserve">ля жителей и гостей разработаны туристские маршруты: </w:t>
      </w:r>
      <w:r>
        <w:rPr>
          <w:color w:val="000000"/>
          <w:sz w:val="28"/>
          <w:szCs w:val="28"/>
        </w:rPr>
        <w:t xml:space="preserve"> «По местам боевой славы», «Православный», «Краеведческий».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9"/>
        <w:jc w:val="both"/>
        <w:tabs>
          <w:tab w:val="left" w:pos="4080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Ежегодно  проводится областной фестиваль рыбалки «Чернянский поплавок».</w:t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709"/>
        <w:jc w:val="both"/>
        <w:tabs>
          <w:tab w:val="left" w:pos="4080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Ежегодно в </w:t>
      </w:r>
      <w:r>
        <w:rPr>
          <w:sz w:val="28"/>
          <w:szCs w:val="28"/>
          <w:shd w:val="clear" w:color="auto" w:fill="ffffff"/>
        </w:rPr>
        <w:t xml:space="preserve">с.Холки</w:t>
      </w:r>
      <w:r>
        <w:rPr>
          <w:sz w:val="28"/>
          <w:szCs w:val="28"/>
          <w:shd w:val="clear" w:color="auto" w:fill="ffffff"/>
        </w:rPr>
        <w:t xml:space="preserve"> проводятся международный фестиваль традиционной казачьей культуры «</w:t>
      </w:r>
      <w:r>
        <w:rPr>
          <w:sz w:val="28"/>
          <w:szCs w:val="28"/>
          <w:shd w:val="clear" w:color="auto" w:fill="ffffff"/>
        </w:rPr>
        <w:t xml:space="preserve">Холковский</w:t>
      </w:r>
      <w:r>
        <w:rPr>
          <w:sz w:val="28"/>
          <w:szCs w:val="28"/>
          <w:shd w:val="clear" w:color="auto" w:fill="ffffff"/>
        </w:rPr>
        <w:t xml:space="preserve"> сполох» и фольклорный фестиваль «Лето красное».</w:t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709"/>
        <w:jc w:val="both"/>
        <w:tabs>
          <w:tab w:val="left" w:pos="4080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Традиционными стали  брендовые мероприятия сельских поселений: </w:t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709"/>
        <w:jc w:val="both"/>
        <w:tabs>
          <w:tab w:val="left" w:pos="4080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праздник картошки «Андреевская россыпь»;</w:t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709"/>
        <w:jc w:val="both"/>
        <w:tabs>
          <w:tab w:val="left" w:pos="4080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фестиваль-ярмарка меда «</w:t>
      </w:r>
      <w:r>
        <w:rPr>
          <w:sz w:val="28"/>
          <w:szCs w:val="28"/>
          <w:shd w:val="clear" w:color="auto" w:fill="ffffff"/>
        </w:rPr>
        <w:t xml:space="preserve">Большанская</w:t>
      </w:r>
      <w:r>
        <w:rPr>
          <w:sz w:val="28"/>
          <w:szCs w:val="28"/>
          <w:shd w:val="clear" w:color="auto" w:fill="ffffff"/>
        </w:rPr>
        <w:t xml:space="preserve"> пчелка»;</w:t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709"/>
        <w:jc w:val="both"/>
        <w:tabs>
          <w:tab w:val="left" w:pos="4080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праздник исторической реконструкции «Сказания о Воеводе Волоте»;</w:t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709"/>
        <w:jc w:val="both"/>
        <w:tabs>
          <w:tab w:val="left" w:pos="4080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праздник хлеба «</w:t>
      </w:r>
      <w:r>
        <w:rPr>
          <w:sz w:val="28"/>
          <w:szCs w:val="28"/>
          <w:shd w:val="clear" w:color="auto" w:fill="ffffff"/>
        </w:rPr>
        <w:t xml:space="preserve">Волоконовский</w:t>
      </w:r>
      <w:r>
        <w:rPr>
          <w:sz w:val="28"/>
          <w:szCs w:val="28"/>
          <w:shd w:val="clear" w:color="auto" w:fill="ffffff"/>
        </w:rPr>
        <w:t xml:space="preserve"> каравай»;</w:t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709"/>
        <w:jc w:val="both"/>
        <w:tabs>
          <w:tab w:val="left" w:pos="4080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литературно-музыкальный фестиваль им. Ф. </w:t>
      </w:r>
      <w:r>
        <w:rPr>
          <w:sz w:val="28"/>
          <w:szCs w:val="28"/>
          <w:shd w:val="clear" w:color="auto" w:fill="ffffff"/>
        </w:rPr>
        <w:t xml:space="preserve">Певнева</w:t>
      </w:r>
      <w:r>
        <w:rPr>
          <w:sz w:val="28"/>
          <w:szCs w:val="28"/>
          <w:shd w:val="clear" w:color="auto" w:fill="ffffff"/>
        </w:rPr>
        <w:t xml:space="preserve"> «Творческие родники»;</w:t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709"/>
        <w:jc w:val="both"/>
        <w:tabs>
          <w:tab w:val="left" w:pos="4080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праздник капусты «</w:t>
      </w:r>
      <w:r>
        <w:rPr>
          <w:sz w:val="28"/>
          <w:szCs w:val="28"/>
          <w:shd w:val="clear" w:color="auto" w:fill="ffffff"/>
        </w:rPr>
        <w:t xml:space="preserve">Кузькинская</w:t>
      </w:r>
      <w:r>
        <w:rPr>
          <w:sz w:val="28"/>
          <w:szCs w:val="28"/>
          <w:shd w:val="clear" w:color="auto" w:fill="ffffff"/>
        </w:rPr>
        <w:t xml:space="preserve"> толока»;</w:t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709"/>
        <w:jc w:val="both"/>
        <w:tabs>
          <w:tab w:val="left" w:pos="4080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хороводно-игровой праздник «</w:t>
      </w:r>
      <w:r>
        <w:rPr>
          <w:sz w:val="28"/>
          <w:szCs w:val="28"/>
          <w:shd w:val="clear" w:color="auto" w:fill="ffffff"/>
        </w:rPr>
        <w:t xml:space="preserve">Новореченскийкарагод</w:t>
      </w:r>
      <w:r>
        <w:rPr>
          <w:sz w:val="28"/>
          <w:szCs w:val="28"/>
          <w:shd w:val="clear" w:color="auto" w:fill="ffffff"/>
        </w:rPr>
        <w:t xml:space="preserve">»;</w:t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709"/>
        <w:jc w:val="both"/>
        <w:tabs>
          <w:tab w:val="left" w:pos="4080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фестиваль ярмарки и ремесел «Земля мастеровая»;</w:t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709"/>
        <w:jc w:val="both"/>
        <w:tabs>
          <w:tab w:val="left" w:pos="4080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праздник молока «</w:t>
      </w:r>
      <w:r>
        <w:rPr>
          <w:sz w:val="28"/>
          <w:szCs w:val="28"/>
          <w:shd w:val="clear" w:color="auto" w:fill="ffffff"/>
        </w:rPr>
        <w:t xml:space="preserve">Орликовская</w:t>
      </w:r>
      <w:r>
        <w:rPr>
          <w:sz w:val="28"/>
          <w:szCs w:val="28"/>
          <w:shd w:val="clear" w:color="auto" w:fill="ffffff"/>
        </w:rPr>
        <w:t xml:space="preserve"> буренка»;</w:t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709"/>
        <w:jc w:val="both"/>
        <w:tabs>
          <w:tab w:val="left" w:pos="4080" w:leader="none"/>
        </w:tabs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святочные гуляния «</w:t>
      </w:r>
      <w:r>
        <w:rPr>
          <w:sz w:val="28"/>
          <w:szCs w:val="28"/>
          <w:shd w:val="clear" w:color="auto" w:fill="ffffff"/>
        </w:rPr>
        <w:t xml:space="preserve">Русскохаланская</w:t>
      </w:r>
      <w:r>
        <w:rPr>
          <w:sz w:val="28"/>
          <w:szCs w:val="28"/>
          <w:shd w:val="clear" w:color="auto" w:fill="ffffff"/>
        </w:rPr>
        <w:t xml:space="preserve"> кутья». </w:t>
      </w:r>
      <w:r>
        <w:rPr>
          <w:sz w:val="28"/>
          <w:szCs w:val="28"/>
          <w:shd w:val="clear" w:color="auto" w:fill="ffffff"/>
        </w:rPr>
      </w:r>
      <w:r>
        <w:rPr>
          <w:sz w:val="28"/>
          <w:szCs w:val="28"/>
          <w:shd w:val="clear" w:color="auto" w:fill="ffffff"/>
        </w:rPr>
      </w:r>
    </w:p>
    <w:p>
      <w:pPr>
        <w:ind w:firstLine="709"/>
        <w:jc w:val="both"/>
        <w:tabs>
          <w:tab w:val="left" w:pos="4080" w:leader="none"/>
        </w:tabs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Востребованным и развивающимся мероприятием туризма является сплав на лодках  по реке Оскол.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b/>
          <w:sz w:val="28"/>
          <w:szCs w:val="28"/>
        </w:rPr>
      </w:pPr>
      <w:r>
        <w:rPr>
          <w:spacing w:val="2"/>
          <w:sz w:val="28"/>
          <w:szCs w:val="28"/>
          <w:shd w:val="clear" w:color="auto" w:fill="ffffff"/>
        </w:rPr>
        <w:t xml:space="preserve">Муниципальное образование обладает уникальными природными ресурсами и культурным наследием. Комплексные решения по комбинированию данных ресурсов с предпринимательским потенциалом позволят создать на территории успешный туристско-рекреационный кластер.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2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1.4</w:t>
      </w:r>
      <w:r>
        <w:rPr>
          <w:b/>
          <w:color w:val="000000"/>
          <w:sz w:val="28"/>
          <w:szCs w:val="28"/>
        </w:rPr>
        <w:t xml:space="preserve">. Кадровый потенциал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</w:t>
      </w:r>
      <w:r>
        <w:rPr>
          <w:b/>
          <w:color w:val="000000"/>
          <w:sz w:val="28"/>
          <w:szCs w:val="28"/>
        </w:rPr>
        <w:t xml:space="preserve">4</w:t>
      </w:r>
      <w:r>
        <w:rPr>
          <w:b/>
          <w:color w:val="000000"/>
          <w:sz w:val="28"/>
          <w:szCs w:val="28"/>
        </w:rPr>
        <w:t xml:space="preserve">.1. </w:t>
      </w:r>
      <w:r>
        <w:rPr>
          <w:b/>
          <w:color w:val="000000"/>
          <w:sz w:val="28"/>
          <w:szCs w:val="28"/>
        </w:rPr>
        <w:t xml:space="preserve">Трудовые ресурсы и занятость населения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Численность населения в трудоспособном возрасте в муниципальном образовании 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данным переписи населения 2010 года составляла 19,1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человек, тогда как в 2007 году – 18,7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человек.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Численность населения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занятого в экономике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в 2011 году составила 12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233 человека, что на 2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 меньше по сравнению с 2007 годом. </w:t>
      </w:r>
      <w:r>
        <w:rPr>
          <w:sz w:val="28"/>
          <w:szCs w:val="28"/>
        </w:rPr>
        <w:t xml:space="preserve">Что связано со сложной ситуацией в работе крупных промышленных предприятий.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</w:t>
      </w:r>
      <w:r>
        <w:rPr>
          <w:i/>
          <w:sz w:val="28"/>
          <w:szCs w:val="28"/>
        </w:rPr>
        <w:t xml:space="preserve">блица 39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о трудовых ресурсах муниципального образования 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788"/>
        <w:gridCol w:w="955"/>
        <w:gridCol w:w="955"/>
        <w:gridCol w:w="955"/>
        <w:gridCol w:w="955"/>
        <w:gridCol w:w="1031"/>
      </w:tblGrid>
      <w:tr>
        <w:tblPrEx/>
        <w:trPr>
          <w:tblHeader/>
        </w:trPr>
        <w:tc>
          <w:tcPr>
            <w:tcW w:w="478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Показатели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2007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2008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2009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95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2010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031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2011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4788" w:type="dxa"/>
            <w:textDirection w:val="lrTb"/>
            <w:noWrap w:val="false"/>
          </w:tcPr>
          <w:p>
            <w:r>
              <w:t xml:space="preserve">Численность трудовых ресурсов  (чел.)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18 780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18 885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18 880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18 936</w:t>
            </w:r>
            <w:r/>
          </w:p>
        </w:tc>
        <w:tc>
          <w:tcPr>
            <w:tcW w:w="103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18 955</w:t>
            </w:r>
            <w:r/>
          </w:p>
        </w:tc>
      </w:tr>
      <w:tr>
        <w:tblPrEx/>
        <w:trPr/>
        <w:tc>
          <w:tcPr>
            <w:tcW w:w="4788" w:type="dxa"/>
            <w:textDirection w:val="lrTb"/>
            <w:noWrap w:val="false"/>
          </w:tcPr>
          <w:p>
            <w:pPr>
              <w:pStyle w:val="1034"/>
              <w:tabs>
                <w:tab w:val="clear" w:pos="4677" w:leader="none"/>
                <w:tab w:val="clear" w:pos="9355" w:leader="none"/>
              </w:tabs>
            </w:pPr>
            <w:r>
              <w:t xml:space="preserve">Темп роста к предыдущему году (%)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100,8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100,6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100,0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100,3</w:t>
            </w:r>
            <w:r/>
          </w:p>
        </w:tc>
        <w:tc>
          <w:tcPr>
            <w:tcW w:w="103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100,1</w:t>
            </w:r>
            <w:r/>
          </w:p>
        </w:tc>
      </w:tr>
      <w:tr>
        <w:tblPrEx/>
        <w:trPr/>
        <w:tc>
          <w:tcPr>
            <w:tcW w:w="4788" w:type="dxa"/>
            <w:textDirection w:val="lrTb"/>
            <w:noWrap w:val="false"/>
          </w:tcPr>
          <w:p>
            <w:pPr>
              <w:rPr>
                <w:b/>
              </w:rPr>
            </w:pPr>
            <w:r>
              <w:t xml:space="preserve">Численность занятых в экономике (чел.)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12 495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11 883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11 798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12 231</w:t>
            </w:r>
            <w:r/>
          </w:p>
        </w:tc>
        <w:tc>
          <w:tcPr>
            <w:tcW w:w="103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12 233</w:t>
            </w:r>
            <w:r/>
          </w:p>
        </w:tc>
      </w:tr>
      <w:tr>
        <w:tblPrEx/>
        <w:trPr/>
        <w:tc>
          <w:tcPr>
            <w:tcW w:w="4788" w:type="dxa"/>
            <w:textDirection w:val="lrTb"/>
            <w:noWrap w:val="false"/>
          </w:tcPr>
          <w:p>
            <w:r>
              <w:t xml:space="preserve">Темп роста к предыдущему году (%)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102,7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95,1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99,3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103,7</w:t>
            </w:r>
            <w:r/>
          </w:p>
        </w:tc>
        <w:tc>
          <w:tcPr>
            <w:tcW w:w="103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100,0</w:t>
            </w:r>
            <w:r/>
          </w:p>
        </w:tc>
      </w:tr>
      <w:tr>
        <w:tblPrEx/>
        <w:trPr/>
        <w:tc>
          <w:tcPr>
            <w:tcW w:w="4788" w:type="dxa"/>
            <w:textDirection w:val="lrTb"/>
            <w:noWrap w:val="false"/>
          </w:tcPr>
          <w:p>
            <w:r>
              <w:t xml:space="preserve">Удельный вес занятых в экономике в общей численности населения (%)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38,3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36,5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36,2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37,5</w:t>
            </w:r>
            <w:r/>
          </w:p>
        </w:tc>
        <w:tc>
          <w:tcPr>
            <w:tcW w:w="103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37,7</w:t>
            </w:r>
            <w:r/>
          </w:p>
        </w:tc>
      </w:tr>
      <w:tr>
        <w:tblPrEx/>
        <w:trPr/>
        <w:tc>
          <w:tcPr>
            <w:tcW w:w="4788" w:type="dxa"/>
            <w:textDirection w:val="lrTb"/>
            <w:noWrap w:val="false"/>
          </w:tcPr>
          <w:p>
            <w:r>
              <w:t xml:space="preserve">Справочно</w:t>
            </w:r>
            <w:r>
              <w:t xml:space="preserve">:</w:t>
            </w:r>
            <w:r/>
          </w:p>
          <w:p>
            <w:r>
              <w:t xml:space="preserve">Удельный вес занятых в экономике в общей численности населения области</w:t>
            </w:r>
            <w:r>
              <w:t xml:space="preserve"> </w:t>
            </w:r>
            <w:r>
              <w:t xml:space="preserve">(%)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46,9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47,8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49,4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48,2</w:t>
            </w:r>
            <w:r/>
          </w:p>
        </w:tc>
        <w:tc>
          <w:tcPr>
            <w:tcW w:w="103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48,1</w:t>
            </w:r>
            <w:r/>
          </w:p>
        </w:tc>
      </w:tr>
      <w:tr>
        <w:tblPrEx/>
        <w:trPr/>
        <w:tc>
          <w:tcPr>
            <w:tcW w:w="4788" w:type="dxa"/>
            <w:textDirection w:val="lrTb"/>
            <w:noWrap w:val="false"/>
          </w:tcPr>
          <w:p>
            <w:r>
              <w:t xml:space="preserve">Коэффициент сравнения удельного веса занятых в экономике в общей численности населения (МО/область)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0,8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0,8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0,7</w:t>
            </w:r>
            <w:r/>
          </w:p>
        </w:tc>
        <w:tc>
          <w:tcPr>
            <w:tcW w:w="95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0,8</w:t>
            </w:r>
            <w:r/>
          </w:p>
        </w:tc>
        <w:tc>
          <w:tcPr>
            <w:tcW w:w="1031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0,8</w:t>
            </w:r>
            <w:r/>
          </w:p>
        </w:tc>
      </w:tr>
    </w:tbl>
    <w:p>
      <w:pPr>
        <w:pStyle w:val="1041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41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нализ показывает, что доля занятых в экономике растет низкими темпами и существенно ниже аналогичных показателей по области.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41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12"/>
        <w:rPr>
          <w:b w:val="0"/>
          <w:i/>
          <w:color w:val="000000"/>
          <w:sz w:val="28"/>
          <w:szCs w:val="28"/>
        </w:rPr>
      </w:pPr>
      <w:r>
        <w:rPr>
          <w:b w:val="0"/>
          <w:i/>
          <w:color w:val="000000"/>
          <w:sz w:val="28"/>
          <w:szCs w:val="28"/>
        </w:rPr>
        <w:t xml:space="preserve"> Таблица 40</w:t>
      </w:r>
      <w:r>
        <w:rPr>
          <w:b w:val="0"/>
          <w:i/>
          <w:color w:val="000000"/>
          <w:sz w:val="28"/>
          <w:szCs w:val="28"/>
        </w:rPr>
      </w:r>
      <w:r>
        <w:rPr>
          <w:b w:val="0"/>
          <w:i/>
          <w:color w:val="000000"/>
          <w:sz w:val="28"/>
          <w:szCs w:val="28"/>
        </w:rPr>
      </w:r>
    </w:p>
    <w:p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показатели занятости населения </w:t>
      </w:r>
      <w:r>
        <w:rPr>
          <w:b/>
          <w:sz w:val="28"/>
          <w:szCs w:val="28"/>
        </w:rPr>
        <w:t xml:space="preserve">в МО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756"/>
        <w:gridCol w:w="756"/>
        <w:gridCol w:w="756"/>
        <w:gridCol w:w="756"/>
        <w:gridCol w:w="756"/>
        <w:gridCol w:w="1179"/>
      </w:tblGrid>
      <w:tr>
        <w:tblPrEx/>
        <w:trPr>
          <w:tblHeader/>
        </w:trPr>
        <w:tc>
          <w:tcPr>
            <w:tcW w:w="4680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Показатели</w:t>
            </w:r>
            <w:r/>
          </w:p>
        </w:tc>
        <w:tc>
          <w:tcPr>
            <w:tcW w:w="756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2007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56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2008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56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2009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56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2010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56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2011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179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Темп роста 2011 к 2007,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4680" w:type="dxa"/>
            <w:textDirection w:val="lrTb"/>
            <w:noWrap w:val="false"/>
          </w:tcPr>
          <w:p>
            <w:r>
              <w:t xml:space="preserve">Среднегодовая численность населения всего, </w:t>
            </w:r>
            <w:r>
              <w:t xml:space="preserve">тыс.</w:t>
            </w:r>
            <w:r>
              <w:t xml:space="preserve"> чел.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32,6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32,6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32,6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32,6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32,4</w:t>
            </w:r>
            <w:r/>
          </w:p>
        </w:tc>
        <w:tc>
          <w:tcPr>
            <w:tcW w:w="117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99,4</w:t>
            </w:r>
            <w:r/>
          </w:p>
        </w:tc>
      </w:tr>
      <w:tr>
        <w:tblPrEx/>
        <w:trPr/>
        <w:tc>
          <w:tcPr>
            <w:tcW w:w="4680" w:type="dxa"/>
            <w:textDirection w:val="lrTb"/>
            <w:noWrap w:val="false"/>
          </w:tcPr>
          <w:p>
            <w:pPr>
              <w:pStyle w:val="1034"/>
              <w:tabs>
                <w:tab w:val="clear" w:pos="4677" w:leader="none"/>
                <w:tab w:val="clear" w:pos="9355" w:leader="none"/>
              </w:tabs>
            </w:pPr>
            <w:r>
              <w:t xml:space="preserve">Численность населения в трудоспособном возрасте, </w:t>
            </w:r>
            <w:r>
              <w:t xml:space="preserve">тыс.</w:t>
            </w:r>
            <w:r>
              <w:t xml:space="preserve"> чел.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18,8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18,9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18,9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18,9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18,9</w:t>
            </w:r>
            <w:r/>
          </w:p>
        </w:tc>
        <w:tc>
          <w:tcPr>
            <w:tcW w:w="117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100,5</w:t>
            </w:r>
            <w:r/>
          </w:p>
        </w:tc>
      </w:tr>
      <w:tr>
        <w:tblPrEx/>
        <w:trPr/>
        <w:tc>
          <w:tcPr>
            <w:tcW w:w="4680" w:type="dxa"/>
            <w:textDirection w:val="lrTb"/>
            <w:noWrap w:val="false"/>
          </w:tcPr>
          <w:p>
            <w:r>
              <w:t xml:space="preserve">Численность занятых в экономике, </w:t>
            </w:r>
            <w:r>
              <w:t xml:space="preserve">тыс.</w:t>
            </w:r>
            <w:r>
              <w:t xml:space="preserve"> чел.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12,2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11,6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11,6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12,1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12,1</w:t>
            </w:r>
            <w:r/>
          </w:p>
        </w:tc>
        <w:tc>
          <w:tcPr>
            <w:tcW w:w="117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99,2</w:t>
            </w:r>
            <w:r/>
          </w:p>
        </w:tc>
      </w:tr>
      <w:tr>
        <w:tblPrEx/>
        <w:trPr/>
        <w:tc>
          <w:tcPr>
            <w:tcW w:w="4680" w:type="dxa"/>
            <w:textDirection w:val="lrTb"/>
            <w:noWrap w:val="false"/>
          </w:tcPr>
          <w:p>
            <w:r>
              <w:t xml:space="preserve">в том числе: на крупных и средних предприятиях, </w:t>
            </w:r>
            <w:r>
              <w:t xml:space="preserve">тыс.</w:t>
            </w:r>
            <w:r>
              <w:t xml:space="preserve"> чел.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7,4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6,7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6,4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6,5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6,4</w:t>
            </w:r>
            <w:r/>
          </w:p>
        </w:tc>
        <w:tc>
          <w:tcPr>
            <w:tcW w:w="117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86,5</w:t>
            </w:r>
            <w:r/>
          </w:p>
        </w:tc>
      </w:tr>
      <w:tr>
        <w:tblPrEx/>
        <w:trPr/>
        <w:tc>
          <w:tcPr>
            <w:tcW w:w="4680" w:type="dxa"/>
            <w:textDirection w:val="lrTb"/>
            <w:noWrap w:val="false"/>
          </w:tcPr>
          <w:p>
            <w:r>
              <w:t xml:space="preserve">в филиалах и представительствах, зарегистрированных в районе, </w:t>
            </w:r>
            <w:r>
              <w:t xml:space="preserve">тыс.</w:t>
            </w:r>
            <w:r>
              <w:t xml:space="preserve"> чел.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0,5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0,2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117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</w:tr>
      <w:tr>
        <w:tblPrEx/>
        <w:trPr/>
        <w:tc>
          <w:tcPr>
            <w:tcW w:w="4680" w:type="dxa"/>
            <w:textDirection w:val="lrTb"/>
            <w:noWrap w:val="false"/>
          </w:tcPr>
          <w:p>
            <w:r>
              <w:t xml:space="preserve">в малом бизнесе, включая КФХ, </w:t>
            </w:r>
            <w:r>
              <w:t xml:space="preserve">тыс.</w:t>
            </w:r>
            <w:r>
              <w:t xml:space="preserve"> чел.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1,5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1,5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1,7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2,0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1,8</w:t>
            </w:r>
            <w:r/>
          </w:p>
        </w:tc>
        <w:tc>
          <w:tcPr>
            <w:tcW w:w="117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120,0</w:t>
            </w:r>
            <w:r/>
          </w:p>
        </w:tc>
      </w:tr>
      <w:tr>
        <w:tblPrEx/>
        <w:trPr/>
        <w:tc>
          <w:tcPr>
            <w:tcW w:w="4680" w:type="dxa"/>
            <w:textDirection w:val="lrTb"/>
            <w:noWrap w:val="false"/>
          </w:tcPr>
          <w:p>
            <w:r>
              <w:t xml:space="preserve">занятых ведением ЛПХ с целью производства товарной продукции, </w:t>
            </w:r>
            <w:r>
              <w:t xml:space="preserve">тыс.</w:t>
            </w:r>
            <w:r>
              <w:t xml:space="preserve"> чел.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2,9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3,2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3,5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3,6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3,9</w:t>
            </w:r>
            <w:r/>
          </w:p>
        </w:tc>
        <w:tc>
          <w:tcPr>
            <w:tcW w:w="117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134,5</w:t>
            </w:r>
            <w:r/>
          </w:p>
        </w:tc>
      </w:tr>
      <w:tr>
        <w:tblPrEx/>
        <w:trPr/>
        <w:tc>
          <w:tcPr>
            <w:tcW w:w="4680" w:type="dxa"/>
            <w:textDirection w:val="lrTb"/>
            <w:noWrap w:val="false"/>
          </w:tcPr>
          <w:p>
            <w:r>
              <w:t xml:space="preserve">работающих за пределами муниципального образования, </w:t>
            </w:r>
            <w:r>
              <w:t xml:space="preserve">тыс.</w:t>
            </w:r>
            <w:r>
              <w:t xml:space="preserve"> чел.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2,8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2,9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3,0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3,1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3,2</w:t>
            </w:r>
            <w:r/>
          </w:p>
        </w:tc>
        <w:tc>
          <w:tcPr>
            <w:tcW w:w="117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114,3</w:t>
            </w:r>
            <w:r/>
          </w:p>
        </w:tc>
      </w:tr>
      <w:tr>
        <w:tblPrEx/>
        <w:trPr/>
        <w:tc>
          <w:tcPr>
            <w:tcW w:w="4680" w:type="dxa"/>
            <w:textDirection w:val="lrTb"/>
            <w:noWrap w:val="false"/>
          </w:tcPr>
          <w:p>
            <w:r>
              <w:t xml:space="preserve">Доля занятых на крупных и средних предприятиях в общей численности занятых в экономике,</w:t>
            </w:r>
            <w:r>
              <w:t xml:space="preserve">%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60,7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57,8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55,2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53,7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52,9</w:t>
            </w:r>
            <w:r/>
          </w:p>
        </w:tc>
        <w:tc>
          <w:tcPr>
            <w:tcW w:w="117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87,1</w:t>
            </w:r>
            <w:r/>
          </w:p>
        </w:tc>
      </w:tr>
      <w:tr>
        <w:tblPrEx/>
        <w:trPr/>
        <w:tc>
          <w:tcPr>
            <w:tcW w:w="4680" w:type="dxa"/>
            <w:textDirection w:val="lrTb"/>
            <w:noWrap w:val="false"/>
          </w:tcPr>
          <w:p>
            <w:r>
              <w:t xml:space="preserve">Доля занятых в экономике в общей численности населения в трудоспособном возрасте,</w:t>
            </w:r>
            <w:r>
              <w:t xml:space="preserve">%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64,9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61,4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61,4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64,0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64,0</w:t>
            </w:r>
            <w:r/>
          </w:p>
        </w:tc>
        <w:tc>
          <w:tcPr>
            <w:tcW w:w="117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98,6</w:t>
            </w:r>
            <w:r/>
          </w:p>
        </w:tc>
      </w:tr>
      <w:tr>
        <w:tblPrEx/>
        <w:trPr/>
        <w:tc>
          <w:tcPr>
            <w:tcW w:w="4680" w:type="dxa"/>
            <w:textDirection w:val="lrTb"/>
            <w:noWrap w:val="false"/>
          </w:tcPr>
          <w:p>
            <w:r>
              <w:t xml:space="preserve">Справочно</w:t>
            </w:r>
            <w:r>
              <w:t xml:space="preserve">: </w:t>
            </w:r>
            <w:r/>
          </w:p>
          <w:p>
            <w:r>
              <w:t xml:space="preserve">Удельный вес занятых в экономике в общей численности населения в трудоспособном возрасте по области ,</w:t>
            </w:r>
            <w:r>
              <w:t xml:space="preserve">%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75,3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76,9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79,8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78,8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79,3</w:t>
            </w:r>
            <w:r/>
          </w:p>
        </w:tc>
        <w:tc>
          <w:tcPr>
            <w:tcW w:w="117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105,3</w:t>
            </w:r>
            <w:r/>
          </w:p>
        </w:tc>
      </w:tr>
      <w:tr>
        <w:tblPrEx/>
        <w:trPr/>
        <w:tc>
          <w:tcPr>
            <w:tcW w:w="4680" w:type="dxa"/>
            <w:textDirection w:val="lrTb"/>
            <w:noWrap w:val="false"/>
          </w:tcPr>
          <w:p>
            <w:r>
              <w:t xml:space="preserve">Коэффициент сравнения удельного веса занятых в экономике в общей численности населения (МО/Область),%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0,9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0,8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0,8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0,8</w:t>
            </w:r>
            <w:r/>
          </w:p>
        </w:tc>
        <w:tc>
          <w:tcPr>
            <w:tcW w:w="75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0,8</w:t>
            </w:r>
            <w:r/>
          </w:p>
        </w:tc>
        <w:tc>
          <w:tcPr>
            <w:tcW w:w="117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88,9</w:t>
            </w:r>
            <w:r/>
          </w:p>
        </w:tc>
      </w:tr>
    </w:tbl>
    <w:p>
      <w:pPr>
        <w:ind w:firstLine="720"/>
        <w:rPr>
          <w:color w:val="ff0000"/>
        </w:rPr>
      </w:pPr>
      <w:r>
        <w:rPr>
          <w:color w:val="ff0000"/>
        </w:rPr>
      </w:r>
      <w:r>
        <w:rPr>
          <w:color w:val="ff0000"/>
        </w:rPr>
      </w:r>
      <w:r>
        <w:rPr>
          <w:color w:val="ff0000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Численность населения в муниципальном образовании за последние           5 лет снизилась на 0,6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 и составила по состоянию на 01.01.2012 года  32 316 человек.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Трудовые ресурсы в 2011 году составили </w:t>
      </w:r>
      <w:r>
        <w:rPr>
          <w:sz w:val="28"/>
          <w:szCs w:val="28"/>
        </w:rPr>
        <w:t xml:space="preserve">58,3</w:t>
      </w:r>
      <w:r>
        <w:rPr>
          <w:sz w:val="28"/>
          <w:szCs w:val="28"/>
        </w:rPr>
        <w:t xml:space="preserve">% от общей численности населения муниципального образования. Их численность в 2011 году составила 18 </w:t>
      </w:r>
      <w:r>
        <w:rPr>
          <w:sz w:val="28"/>
          <w:szCs w:val="28"/>
        </w:rPr>
        <w:t xml:space="preserve">922</w:t>
      </w:r>
      <w:r>
        <w:rPr>
          <w:sz w:val="28"/>
          <w:szCs w:val="28"/>
        </w:rPr>
        <w:t xml:space="preserve"> человек против 18 780 человек в 2007 году.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 xml:space="preserve">Численность населения занятого в экономике снизилась в 2011 году по сравнению с 2007 годом на </w:t>
      </w:r>
      <w:r>
        <w:rPr>
          <w:sz w:val="28"/>
          <w:szCs w:val="28"/>
        </w:rPr>
        <w:t xml:space="preserve">0,8</w:t>
      </w:r>
      <w:r>
        <w:rPr>
          <w:sz w:val="28"/>
          <w:szCs w:val="28"/>
        </w:rPr>
        <w:t xml:space="preserve">% и составила 1</w:t>
      </w:r>
      <w:r>
        <w:rPr>
          <w:sz w:val="28"/>
          <w:szCs w:val="28"/>
        </w:rPr>
        <w:t xml:space="preserve">2 063</w:t>
      </w:r>
      <w:r>
        <w:rPr>
          <w:sz w:val="28"/>
          <w:szCs w:val="28"/>
        </w:rPr>
        <w:t xml:space="preserve"> человек.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Снижение численности занятого в экономике населения произошло в основном из-за уменьшения числа работающих в крупных и средних организациях </w:t>
      </w:r>
      <w:r>
        <w:rPr>
          <w:sz w:val="28"/>
          <w:szCs w:val="28"/>
        </w:rPr>
        <w:t xml:space="preserve">на 1019 человек. Положительным является развитие малого бизнеса, где количество работников возросло на </w:t>
      </w:r>
      <w:r>
        <w:rPr>
          <w:sz w:val="28"/>
          <w:szCs w:val="28"/>
        </w:rPr>
        <w:t xml:space="preserve">357</w:t>
      </w:r>
      <w:r>
        <w:rPr>
          <w:sz w:val="28"/>
          <w:szCs w:val="28"/>
        </w:rPr>
        <w:t xml:space="preserve"> человек или на </w:t>
      </w:r>
      <w:r>
        <w:rPr>
          <w:sz w:val="28"/>
          <w:szCs w:val="28"/>
        </w:rPr>
        <w:t xml:space="preserve">24,2</w:t>
      </w:r>
      <w:r>
        <w:rPr>
          <w:sz w:val="28"/>
          <w:szCs w:val="28"/>
        </w:rPr>
        <w:t xml:space="preserve">% по сравнению с 2007 годом.</w:t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2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41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Сведения о численности безработных в МО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20"/>
        <w:jc w:val="center"/>
      </w:pPr>
      <w:r/>
      <w:r/>
    </w:p>
    <w:tbl>
      <w:tblPr>
        <w:tblW w:w="970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403"/>
        <w:gridCol w:w="838"/>
        <w:gridCol w:w="838"/>
        <w:gridCol w:w="838"/>
        <w:gridCol w:w="838"/>
        <w:gridCol w:w="839"/>
        <w:gridCol w:w="1109"/>
      </w:tblGrid>
      <w:tr>
        <w:tblPrEx/>
        <w:trPr>
          <w:trHeight w:val="1109"/>
          <w:tblHeader/>
        </w:trPr>
        <w:tc>
          <w:tcPr>
            <w:tcW w:w="440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Показатели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38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2007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38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2008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38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2009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38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2010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39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2011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109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Темп роста 2011 к 2007,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rHeight w:val="827"/>
        </w:trPr>
        <w:tc>
          <w:tcPr>
            <w:tcW w:w="4403" w:type="dxa"/>
            <w:textDirection w:val="lrTb"/>
            <w:noWrap w:val="false"/>
          </w:tcPr>
          <w:p>
            <w:pPr>
              <w:pStyle w:val="1034"/>
              <w:tabs>
                <w:tab w:val="clear" w:pos="4677" w:leader="none"/>
                <w:tab w:val="clear" w:pos="9355" w:leader="none"/>
              </w:tabs>
            </w:pPr>
            <w:r>
              <w:t xml:space="preserve">Численность безработных, обратившихся в органы государственной службы занятости, чел.</w:t>
            </w:r>
            <w:r/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1084</w:t>
            </w:r>
            <w:r/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1536</w:t>
            </w:r>
            <w:r/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999</w:t>
            </w:r>
            <w:r/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1018</w:t>
            </w:r>
            <w:r/>
          </w:p>
        </w:tc>
        <w:tc>
          <w:tcPr>
            <w:tcW w:w="83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1100</w:t>
            </w:r>
            <w:r/>
          </w:p>
        </w:tc>
        <w:tc>
          <w:tcPr>
            <w:tcW w:w="11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101,5</w:t>
            </w:r>
            <w:r/>
          </w:p>
        </w:tc>
      </w:tr>
      <w:tr>
        <w:tblPrEx/>
        <w:trPr>
          <w:trHeight w:val="545"/>
        </w:trPr>
        <w:tc>
          <w:tcPr>
            <w:tcW w:w="4403" w:type="dxa"/>
            <w:textDirection w:val="lrTb"/>
            <w:noWrap w:val="false"/>
          </w:tcPr>
          <w:p>
            <w:r>
              <w:t xml:space="preserve">из них:</w:t>
            </w:r>
            <w:r/>
          </w:p>
          <w:p>
            <w:r>
              <w:t xml:space="preserve">- число трудоустроенных граждан, чел</w:t>
            </w:r>
            <w:r/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896</w:t>
            </w:r>
            <w:r/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983</w:t>
            </w:r>
            <w:r/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965</w:t>
            </w:r>
            <w:r/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718</w:t>
            </w:r>
            <w:r/>
          </w:p>
        </w:tc>
        <w:tc>
          <w:tcPr>
            <w:tcW w:w="83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602</w:t>
            </w:r>
            <w:r/>
          </w:p>
        </w:tc>
        <w:tc>
          <w:tcPr>
            <w:tcW w:w="11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67,2</w:t>
            </w:r>
            <w:r/>
          </w:p>
        </w:tc>
      </w:tr>
      <w:tr>
        <w:tblPrEx/>
        <w:trPr>
          <w:trHeight w:val="827"/>
        </w:trPr>
        <w:tc>
          <w:tcPr>
            <w:tcW w:w="4403" w:type="dxa"/>
            <w:textDirection w:val="lrTb"/>
            <w:noWrap w:val="false"/>
          </w:tcPr>
          <w:p>
            <w:r>
              <w:t xml:space="preserve">Численность безработных, зарегистрированных в органах государственной службы занятости, чел.</w:t>
            </w:r>
            <w:r/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218</w:t>
            </w:r>
            <w:r/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524</w:t>
            </w:r>
            <w:r/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261</w:t>
            </w:r>
            <w:r/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323</w:t>
            </w:r>
            <w:r/>
          </w:p>
        </w:tc>
        <w:tc>
          <w:tcPr>
            <w:tcW w:w="83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228</w:t>
            </w:r>
            <w:r/>
          </w:p>
        </w:tc>
        <w:tc>
          <w:tcPr>
            <w:tcW w:w="11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104,6</w:t>
            </w:r>
            <w:r/>
          </w:p>
        </w:tc>
      </w:tr>
      <w:tr>
        <w:tblPrEx/>
        <w:trPr>
          <w:trHeight w:val="545"/>
        </w:trPr>
        <w:tc>
          <w:tcPr>
            <w:tcW w:w="4403" w:type="dxa"/>
            <w:textDirection w:val="lrTb"/>
            <w:noWrap w:val="false"/>
          </w:tcPr>
          <w:p>
            <w:r>
              <w:t xml:space="preserve">из них:</w:t>
            </w:r>
            <w:r/>
          </w:p>
          <w:p>
            <w:r>
              <w:t xml:space="preserve">- направлено на обучение, чел.</w:t>
            </w:r>
            <w:r/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53</w:t>
            </w:r>
            <w:r/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48</w:t>
            </w:r>
            <w:r/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85</w:t>
            </w:r>
            <w:r/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73</w:t>
            </w:r>
            <w:r/>
          </w:p>
        </w:tc>
        <w:tc>
          <w:tcPr>
            <w:tcW w:w="83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78</w:t>
            </w:r>
            <w:r/>
          </w:p>
        </w:tc>
        <w:tc>
          <w:tcPr>
            <w:tcW w:w="11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147,2</w:t>
            </w:r>
            <w:r/>
          </w:p>
        </w:tc>
      </w:tr>
      <w:tr>
        <w:tblPrEx/>
        <w:trPr>
          <w:trHeight w:val="847"/>
        </w:trPr>
        <w:tc>
          <w:tcPr>
            <w:tcW w:w="4403" w:type="dxa"/>
            <w:textDirection w:val="lrTb"/>
            <w:noWrap w:val="false"/>
          </w:tcPr>
          <w:p>
            <w:pPr>
              <w:rPr>
                <w:color w:val="000000"/>
              </w:rPr>
            </w:pPr>
            <w:r>
              <w:rPr>
                <w:color w:val="000000"/>
              </w:rPr>
              <w:t xml:space="preserve">Потребность в работниках, заявленная предприятиями и организациями на конец года, чел.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31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129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79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38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83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20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tcW w:w="1109" w:type="dxa"/>
            <w:vAlign w:val="center"/>
            <w:textDirection w:val="lrTb"/>
            <w:noWrap w:val="false"/>
          </w:tcPr>
          <w:p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64,5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</w:tr>
    </w:tbl>
    <w:p>
      <w:pPr>
        <w:ind w:firstLine="72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Ситуация на рынке труда остается сложной. За содействием в поисках работы в службу занятости в 2011 году обратилось 1100 человек. Из общего числа обращений признано безработными  80,7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процента</w:t>
      </w:r>
      <w:r>
        <w:rPr>
          <w:sz w:val="28"/>
          <w:szCs w:val="28"/>
        </w:rPr>
        <w:t xml:space="preserve">. Уровень безработицы по состоянию на 01.01.2012 года составил </w:t>
      </w:r>
      <w:r>
        <w:rPr>
          <w:sz w:val="28"/>
          <w:szCs w:val="28"/>
        </w:rPr>
        <w:t xml:space="preserve">1,46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процента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Остальным гражданам, зарегистрированным в качестве ищущих работу, подобраны варианты трудоустройства, или они были направлены на специальные мероприятия по содействию занятости.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мероприятий по  содействию занятости населения  в обществе</w:t>
      </w:r>
      <w:r>
        <w:rPr>
          <w:sz w:val="28"/>
          <w:szCs w:val="28"/>
        </w:rPr>
        <w:t xml:space="preserve">нных работах приняли участие 68</w:t>
      </w:r>
      <w:r>
        <w:rPr>
          <w:sz w:val="28"/>
          <w:szCs w:val="28"/>
        </w:rPr>
        <w:t xml:space="preserve"> человек, 7</w:t>
      </w:r>
      <w:r>
        <w:rPr>
          <w:sz w:val="28"/>
          <w:szCs w:val="28"/>
        </w:rPr>
        <w:t xml:space="preserve">8 человек</w:t>
      </w:r>
      <w:r>
        <w:rPr>
          <w:sz w:val="28"/>
          <w:szCs w:val="28"/>
        </w:rPr>
        <w:t xml:space="preserve"> направлены на профессиональное обучение, организовано 2</w:t>
      </w:r>
      <w:r>
        <w:rPr>
          <w:sz w:val="28"/>
          <w:szCs w:val="28"/>
        </w:rPr>
        <w:t xml:space="preserve">16</w:t>
      </w:r>
      <w:r>
        <w:rPr>
          <w:sz w:val="28"/>
          <w:szCs w:val="28"/>
        </w:rPr>
        <w:t xml:space="preserve"> временных мест для трудоустройства несовершеннолетних граждан, три подростка устроились на квотируемые рабочие места.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временного тру</w:t>
      </w:r>
      <w:r>
        <w:rPr>
          <w:sz w:val="28"/>
          <w:szCs w:val="28"/>
        </w:rPr>
        <w:t xml:space="preserve">доустройства особо нуждающихся в социальной защите безработных с предприятиями и организациями района было заключено 13 договоров за счет федеральных средств, в соответствии с которыми было трудоустроено 13 человек, испытывающих трудности в поиске работы.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реализации Программы стабилизации ситуации на рынке труда Белгородской области в 2011 году заключено 108 договоров о содействии развитию малого предпринимательства. Предметом договора является содействие </w:t>
      </w:r>
      <w:r>
        <w:rPr>
          <w:color w:val="000000"/>
          <w:sz w:val="28"/>
          <w:szCs w:val="28"/>
        </w:rPr>
        <w:t xml:space="preserve">самозанятости</w:t>
      </w:r>
      <w:r>
        <w:rPr>
          <w:color w:val="000000"/>
          <w:sz w:val="28"/>
          <w:szCs w:val="28"/>
        </w:rPr>
        <w:t xml:space="preserve"> безработных граждан и стимулирования создания безработными гражданами, открывшими собственное дело, дополнительных рабочих мест.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2011 году в рамках содействия развития малого предпринимательства и </w:t>
      </w:r>
      <w:r>
        <w:rPr>
          <w:color w:val="000000"/>
          <w:sz w:val="28"/>
          <w:szCs w:val="28"/>
        </w:rPr>
        <w:t xml:space="preserve">самозанятости</w:t>
      </w:r>
      <w:r>
        <w:rPr>
          <w:color w:val="000000"/>
          <w:sz w:val="28"/>
          <w:szCs w:val="28"/>
        </w:rPr>
        <w:t xml:space="preserve">  безработных граждан государственная услуга оказана 114 безработным гражданам; 108 гражданам оказана помощь в написании бизнес-планов. 108 безработных граждан зарегистрировались индивидуальными предпринимателями. Им выплачено субсидий на сумму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6350,4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руб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В рамках данной програ</w:t>
      </w:r>
      <w:r>
        <w:rPr>
          <w:color w:val="000000"/>
          <w:sz w:val="28"/>
          <w:szCs w:val="28"/>
        </w:rPr>
        <w:t xml:space="preserve">ммы 10 предпринимателей создали </w:t>
      </w:r>
      <w:r>
        <w:rPr>
          <w:color w:val="000000"/>
          <w:sz w:val="28"/>
          <w:szCs w:val="28"/>
        </w:rPr>
        <w:t xml:space="preserve">17 дополнительных рабочих места, на их создание предпринимателям выплачена субсидия на сумму 999,6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руб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  <w:t xml:space="preserve"> Все затраты  на содействие </w:t>
      </w:r>
      <w:r>
        <w:rPr>
          <w:color w:val="000000"/>
          <w:sz w:val="28"/>
          <w:szCs w:val="28"/>
        </w:rPr>
        <w:t xml:space="preserve">самозанятости</w:t>
      </w:r>
      <w:r>
        <w:rPr>
          <w:color w:val="000000"/>
          <w:sz w:val="28"/>
          <w:szCs w:val="28"/>
        </w:rPr>
        <w:t xml:space="preserve"> составили 7350,0 </w:t>
      </w:r>
      <w:r>
        <w:rPr>
          <w:color w:val="000000"/>
          <w:sz w:val="28"/>
          <w:szCs w:val="28"/>
        </w:rPr>
        <w:t xml:space="preserve">тыс.</w:t>
      </w:r>
      <w:r>
        <w:rPr>
          <w:color w:val="000000"/>
          <w:sz w:val="28"/>
          <w:szCs w:val="28"/>
        </w:rPr>
        <w:t xml:space="preserve"> руб</w:t>
      </w:r>
      <w:r>
        <w:rPr>
          <w:color w:val="000000"/>
          <w:sz w:val="28"/>
          <w:szCs w:val="28"/>
        </w:rPr>
        <w:t xml:space="preserve">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20"/>
        <w:jc w:val="both"/>
        <w:rPr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t xml:space="preserve">Основной проблемой при подборе работы гражданам является несоответствие квалификационных требований (большой опыт работы на руководящих должностях, владение двумя-тремя смежными специальностями, </w:t>
      </w:r>
      <w:r>
        <w:rPr>
          <w:color w:val="000000"/>
          <w:sz w:val="28"/>
          <w:szCs w:val="28"/>
        </w:rPr>
        <w:t xml:space="preserve">наличие </w:t>
      </w:r>
      <w:r>
        <w:rPr>
          <w:color w:val="000000"/>
          <w:sz w:val="28"/>
          <w:szCs w:val="28"/>
        </w:rPr>
        <w:t xml:space="preserve">требования высоких разрядов)</w:t>
      </w:r>
      <w:r>
        <w:rPr>
          <w:color w:val="000000"/>
          <w:sz w:val="28"/>
          <w:szCs w:val="28"/>
        </w:rPr>
        <w:t xml:space="preserve"> или </w:t>
      </w:r>
      <w:r>
        <w:rPr>
          <w:color w:val="000000"/>
          <w:sz w:val="28"/>
          <w:szCs w:val="28"/>
        </w:rPr>
        <w:t xml:space="preserve">низкооплачиваем</w:t>
      </w:r>
      <w:r>
        <w:rPr>
          <w:color w:val="000000"/>
          <w:sz w:val="28"/>
          <w:szCs w:val="28"/>
        </w:rPr>
        <w:t xml:space="preserve">ость</w:t>
      </w:r>
      <w:r>
        <w:rPr>
          <w:color w:val="000000"/>
          <w:sz w:val="28"/>
          <w:szCs w:val="28"/>
        </w:rPr>
        <w:t xml:space="preserve"> вакансий</w:t>
      </w:r>
      <w:r>
        <w:rPr>
          <w:color w:val="000000"/>
          <w:sz w:val="28"/>
          <w:szCs w:val="28"/>
        </w:rPr>
        <w:t xml:space="preserve">, не требующи</w:t>
      </w:r>
      <w:r>
        <w:rPr>
          <w:color w:val="000000"/>
          <w:sz w:val="28"/>
          <w:szCs w:val="28"/>
        </w:rPr>
        <w:t xml:space="preserve">х</w:t>
      </w:r>
      <w:r>
        <w:rPr>
          <w:color w:val="000000"/>
          <w:sz w:val="28"/>
          <w:szCs w:val="28"/>
        </w:rPr>
        <w:t xml:space="preserve"> профессиональной подготовки.</w:t>
      </w:r>
      <w:r>
        <w:rPr>
          <w:color w:val="000000"/>
          <w:sz w:val="32"/>
          <w:szCs w:val="32"/>
        </w:rPr>
      </w:r>
      <w:r>
        <w:rPr>
          <w:color w:val="000000"/>
          <w:sz w:val="32"/>
          <w:szCs w:val="32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Проводится </w:t>
      </w:r>
      <w:r>
        <w:rPr>
          <w:color w:val="000000"/>
          <w:sz w:val="28"/>
          <w:szCs w:val="28"/>
        </w:rPr>
        <w:t xml:space="preserve">профориентационная</w:t>
      </w:r>
      <w:r>
        <w:rPr>
          <w:color w:val="000000"/>
          <w:sz w:val="28"/>
          <w:szCs w:val="28"/>
        </w:rPr>
        <w:t xml:space="preserve"> работа с выпускниками общеобразовательных учреждений и их родителями. Осуществляется работа по заключению договоров-контрактов для целевой подготовки кадров по необходимым для экономики района профессиям.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</w:t>
      </w:r>
      <w:r>
        <w:rPr>
          <w:b/>
          <w:sz w:val="28"/>
          <w:szCs w:val="28"/>
        </w:rPr>
        <w:t xml:space="preserve">4</w:t>
      </w:r>
      <w:r>
        <w:rPr>
          <w:b/>
          <w:sz w:val="28"/>
          <w:szCs w:val="28"/>
        </w:rPr>
        <w:t xml:space="preserve">.2. </w:t>
      </w:r>
      <w:r>
        <w:rPr>
          <w:b/>
          <w:sz w:val="28"/>
          <w:szCs w:val="28"/>
        </w:rPr>
        <w:t xml:space="preserve">Анализ системы</w:t>
      </w:r>
      <w:r>
        <w:rPr>
          <w:b/>
          <w:sz w:val="28"/>
          <w:szCs w:val="28"/>
        </w:rPr>
        <w:t xml:space="preserve"> управления муниципального </w:t>
      </w:r>
      <w:r>
        <w:rPr>
          <w:b/>
          <w:sz w:val="28"/>
          <w:szCs w:val="28"/>
        </w:rPr>
        <w:t xml:space="preserve">образования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 В соответствии с Законом Белгородской области от </w:t>
      </w:r>
      <w:r>
        <w:rPr>
          <w:sz w:val="28"/>
          <w:szCs w:val="28"/>
          <w:highlight w:val="white"/>
        </w:rPr>
        <w:t xml:space="preserve">25 февраля 2025 года</w:t>
      </w:r>
      <w:r>
        <w:rPr>
          <w:sz w:val="28"/>
          <w:szCs w:val="28"/>
          <w:highlight w:val="white"/>
        </w:rPr>
        <w:t xml:space="preserve"> № 462 «О преобразовании всех поселений, входящих в состав муниципального района «Чернянский район» Белгородской области» в результате объединений поселений образован «Чернянский муниципальный округ Белгородской области».</w:t>
      </w:r>
      <w:r>
        <w:rPr>
          <w:highlight w:val="white"/>
        </w:rPr>
      </w:r>
      <w:r>
        <w:rPr>
          <w:sz w:val="28"/>
          <w:szCs w:val="28"/>
          <w:highlight w:val="white"/>
        </w:rPr>
      </w:r>
    </w:p>
    <w:p>
      <w:pPr>
        <w:ind w:firstLine="708"/>
        <w:jc w:val="both"/>
        <w:rPr>
          <w:highlight w:val="white"/>
        </w:rPr>
      </w:pP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  <w:t xml:space="preserve">Муниципальное образование Чернянский муниципальный округ Белгородской области  </w:t>
      </w:r>
      <w:r>
        <w:rPr>
          <w:sz w:val="28"/>
          <w:szCs w:val="28"/>
          <w:highlight w:val="white"/>
        </w:rPr>
        <w:t xml:space="preserve"> имеет статус муниципального округа. В его состав входят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 поселки:</w:t>
      </w:r>
      <w:r>
        <w:rPr>
          <w:highlight w:val="white"/>
        </w:rPr>
      </w:r>
      <w:r>
        <w:rPr>
          <w:highlight w:val="white"/>
        </w:rPr>
      </w:r>
    </w:p>
    <w:p>
      <w:pPr>
        <w:pStyle w:val="1003"/>
        <w:ind w:firstLine="708"/>
        <w:jc w:val="both"/>
        <w:rPr>
          <w:highlight w:val="white"/>
        </w:rPr>
      </w:pPr>
      <w:r>
        <w:rPr>
          <w:sz w:val="28"/>
          <w:szCs w:val="28"/>
          <w:highlight w:val="white"/>
        </w:rPr>
        <w:t xml:space="preserve">Долгая Яруга, Красная Звезда, Красная Поляна, Красный Выселок, Красный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Остров, Некрасовка, Чернянка; села: Александровка, Андреевка, Баклановка,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Большое, Верхнее Кузькино, Волково, Волоконовка, Волотово, Воскресеновка,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Ездочное, Завалищено, Захарово, Ковылено, Комаревцево, Кочегуры, Ларисовка,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Лозное, Лубяное-Первое, Малотроицкое, Новая Масловка, Новоречье, Огибное,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Окуни, Ольшанка, Орлик, Павловка, Петропавловка, Прилепы, Проточное,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Русская Халань, Савенково, Становое, Старохмелевое, Сухая Ольшанка, Хитрово,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Холки; хутора: Алпеевка, Бабанино, Бородин, Водяное, Заречное, Малиново,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Малый, Медвежье, Новоселовка, Петровский, Раевка, Славянка, Сукмановка,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Шляховое, Яблоново.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Административным центром муниципального округа является поселок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Чернянка.</w:t>
      </w:r>
      <w:r>
        <w:rPr>
          <w:sz w:val="28"/>
          <w:szCs w:val="28"/>
          <w:highlight w:val="white"/>
        </w:rPr>
        <w:t xml:space="preserve">  </w:t>
      </w:r>
      <w:r>
        <w:rPr>
          <w:highlight w:val="white"/>
        </w:rPr>
      </w:r>
      <w:r>
        <w:rPr>
          <w:highlight w:val="white"/>
        </w:rPr>
      </w:r>
    </w:p>
    <w:p>
      <w:pPr>
        <w:pStyle w:val="1003"/>
        <w:ind w:firstLine="708"/>
        <w:jc w:val="both"/>
        <w:rPr>
          <w:highlight w:val="white"/>
        </w:rPr>
      </w:pPr>
      <w:r>
        <w:rPr>
          <w:sz w:val="28"/>
          <w:szCs w:val="28"/>
          <w:highlight w:val="white"/>
        </w:rPr>
        <w:t xml:space="preserve">Устав Чернянского муниципального округа </w:t>
      </w:r>
      <w:r>
        <w:rPr>
          <w:sz w:val="28"/>
          <w:szCs w:val="28"/>
          <w:highlight w:val="white"/>
        </w:rPr>
        <w:t xml:space="preserve"> принят </w:t>
      </w:r>
      <w:r>
        <w:rPr>
          <w:sz w:val="28"/>
          <w:szCs w:val="28"/>
          <w:highlight w:val="white"/>
        </w:rPr>
        <w:t xml:space="preserve">решением Совета депутатов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Чернянского муниципального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округа Белгородской области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от 31 октября 2025 года </w:t>
      </w:r>
      <w:r>
        <w:rPr>
          <w:sz w:val="28"/>
          <w:szCs w:val="28"/>
          <w:highlight w:val="white"/>
        </w:rPr>
        <w:t xml:space="preserve">.</w:t>
      </w:r>
      <w:r>
        <w:rPr>
          <w:highlight w:val="white"/>
        </w:rPr>
      </w:r>
      <w:r>
        <w:rPr>
          <w:highlight w:val="white"/>
        </w:rPr>
      </w:r>
    </w:p>
    <w:p>
      <w:pPr>
        <w:pStyle w:val="1003"/>
        <w:ind w:firstLine="708"/>
        <w:jc w:val="both"/>
        <w:rPr>
          <w:highlight w:val="white"/>
        </w:rPr>
      </w:pPr>
      <w:r>
        <w:rPr>
          <w:sz w:val="28"/>
          <w:szCs w:val="28"/>
          <w:highlight w:val="white"/>
        </w:rPr>
        <w:t xml:space="preserve">Представительным органом муниципального образования является </w:t>
      </w:r>
      <w:r>
        <w:rPr>
          <w:sz w:val="28"/>
          <w:szCs w:val="28"/>
          <w:highlight w:val="white"/>
        </w:rPr>
        <w:t xml:space="preserve">Совета депутатов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Чернянского муниципального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округа Белгородской области</w:t>
      </w:r>
      <w:r>
        <w:rPr>
          <w:sz w:val="28"/>
          <w:szCs w:val="28"/>
          <w:highlight w:val="white"/>
        </w:rPr>
        <w:t xml:space="preserve">, кот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рый состоит из 20  депутатов</w:t>
      </w:r>
      <w:r>
        <w:rPr>
          <w:sz w:val="28"/>
          <w:szCs w:val="28"/>
          <w:highlight w:val="white"/>
        </w:rPr>
        <w:t xml:space="preserve">,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избранных на муниципальных выборах на основе всеобщего равного и прямого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избирательного права при тайном голосовании. При этом 9 депутатов избираются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по 9 одномандатным избирательным округам и 11 депутатов избираются по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единому избирательному округу.</w:t>
      </w:r>
      <w:r>
        <w:rPr>
          <w:sz w:val="28"/>
          <w:szCs w:val="28"/>
          <w:highlight w:val="white"/>
        </w:rPr>
        <w:t xml:space="preserve"> Срок полномочий Совета депутатов муниципального округа составляет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5 лет.</w:t>
      </w:r>
      <w:r>
        <w:rPr>
          <w:highlight w:val="white"/>
        </w:rPr>
      </w:r>
      <w:r>
        <w:rPr>
          <w:highlight w:val="white"/>
        </w:rPr>
      </w:r>
    </w:p>
    <w:p>
      <w:pPr>
        <w:pStyle w:val="1003"/>
        <w:ind w:firstLine="708"/>
        <w:jc w:val="both"/>
        <w:rPr>
          <w:highlight w:val="white"/>
        </w:rPr>
      </w:pP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сполнительно -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распорядительным органом местного самоуправления муниципального округа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является 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Администрация муниципального округа, </w:t>
      </w:r>
      <w:r>
        <w:rPr>
          <w:sz w:val="28"/>
          <w:szCs w:val="28"/>
          <w:highlight w:val="white"/>
        </w:rPr>
        <w:t xml:space="preserve">наделенная  полномочиями по решению вопросов непосредственного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обеспечения жизнедеятельности населения и полномочиями для осуществления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отдельных государственных полномочий, переданных органам местного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самоуправления федеральными законами и законами Белгородской области.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 Администрацию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 муниципального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 округа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 возглавляет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 Глава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муниципального округа.</w:t>
      </w:r>
      <w:r>
        <w:rPr>
          <w:highlight w:val="white"/>
        </w:rPr>
      </w:r>
      <w:r>
        <w:rPr>
          <w:highlight w:val="white"/>
        </w:rPr>
      </w:r>
    </w:p>
    <w:p>
      <w:pPr>
        <w:ind w:firstLine="708"/>
        <w:jc w:val="both"/>
        <w:rPr>
          <w:sz w:val="28"/>
          <w:szCs w:val="28"/>
          <w:highlight w:val="white"/>
          <w14:ligatures w14:val="none"/>
        </w:rPr>
      </w:pPr>
      <w:r>
        <w:rPr>
          <w:sz w:val="28"/>
          <w:szCs w:val="28"/>
          <w:highlight w:val="white"/>
        </w:rPr>
        <w:t xml:space="preserve"> Структура Администрации муниципального округа утверждается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Советом депутатов муниципального округа по представлению Главы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муниципального округа.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структуру Администрации муниципального округа входят отраслевые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(функциональные) и  16 территориальных органов Администрации муниципального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округа. </w:t>
      </w:r>
      <w:r>
        <w:rPr>
          <w:sz w:val="28"/>
          <w:szCs w:val="28"/>
          <w:highlight w:val="white"/>
        </w:rPr>
        <w:t xml:space="preserve">Территориальные органы </w:t>
      </w:r>
      <w:r>
        <w:rPr>
          <w:sz w:val="28"/>
          <w:szCs w:val="28"/>
          <w:highlight w:val="white"/>
        </w:rPr>
        <w:t xml:space="preserve">Администрации муниципального округа </w:t>
      </w:r>
      <w:r>
        <w:rPr>
          <w:sz w:val="28"/>
          <w:szCs w:val="28"/>
          <w:highlight w:val="white"/>
        </w:rPr>
        <w:t xml:space="preserve">формируются с учетом крите</w:t>
      </w:r>
      <w:r>
        <w:rPr>
          <w:sz w:val="28"/>
          <w:szCs w:val="28"/>
          <w:highlight w:val="white"/>
        </w:rPr>
        <w:t xml:space="preserve">риев, определенных законом Белгородской области.</w:t>
      </w:r>
      <w:r>
        <w:rPr>
          <w:sz w:val="28"/>
          <w:szCs w:val="28"/>
          <w:highlight w:val="white"/>
          <w14:ligatures w14:val="none"/>
        </w:rPr>
      </w:r>
      <w:r>
        <w:rPr>
          <w:sz w:val="28"/>
          <w:szCs w:val="28"/>
          <w:highlight w:val="white"/>
          <w14:ligatures w14:val="non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Муниципальное образование Чернянский муниципальный округ Белгородской области входит в Ассоциацию  «Совет муниципальных образова</w:t>
      </w:r>
      <w:r>
        <w:rPr>
          <w:sz w:val="28"/>
          <w:szCs w:val="28"/>
          <w:highlight w:val="white"/>
        </w:rPr>
        <w:t xml:space="preserve">ний Белгородской о</w:t>
      </w:r>
      <w:r>
        <w:rPr>
          <w:sz w:val="28"/>
          <w:szCs w:val="28"/>
          <w:highlight w:val="white"/>
        </w:rPr>
        <w:t xml:space="preserve">б</w:t>
      </w:r>
      <w:r>
        <w:rPr>
          <w:sz w:val="28"/>
          <w:szCs w:val="28"/>
          <w:highlight w:val="white"/>
        </w:rPr>
        <w:t xml:space="preserve">ласти».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Основными приоритетами политики органов местного самоуправления Чернянского муниципального округа  являются улучшение качества жизни населения района, в первую очередь, с учетом основных пол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жений ежегодных посланий Пре</w:t>
      </w:r>
      <w:r>
        <w:rPr>
          <w:sz w:val="28"/>
          <w:szCs w:val="28"/>
          <w:highlight w:val="white"/>
        </w:rPr>
        <w:t xml:space="preserve">зидента Российской Федерации Федеральн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му Собранию Российской Федерации и в соответствии с Программой улу</w:t>
      </w:r>
      <w:r>
        <w:rPr>
          <w:sz w:val="28"/>
          <w:szCs w:val="28"/>
          <w:highlight w:val="white"/>
        </w:rPr>
        <w:t xml:space="preserve">ч</w:t>
      </w:r>
      <w:r>
        <w:rPr>
          <w:sz w:val="28"/>
          <w:szCs w:val="28"/>
          <w:highlight w:val="white"/>
        </w:rPr>
        <w:t xml:space="preserve">шения качества жизни населения Белгородской области, 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жегодными отч</w:t>
      </w:r>
      <w:r>
        <w:rPr>
          <w:sz w:val="28"/>
          <w:szCs w:val="28"/>
          <w:highlight w:val="white"/>
        </w:rPr>
        <w:t xml:space="preserve">е</w:t>
      </w:r>
      <w:r>
        <w:rPr>
          <w:sz w:val="28"/>
          <w:szCs w:val="28"/>
          <w:highlight w:val="white"/>
        </w:rPr>
        <w:t xml:space="preserve">тами Губернатора Белгородской области, Стратегией с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циально-экономического развити</w:t>
      </w:r>
      <w:r>
        <w:rPr>
          <w:sz w:val="28"/>
          <w:szCs w:val="28"/>
          <w:highlight w:val="white"/>
        </w:rPr>
        <w:t xml:space="preserve">я Белгородской области, </w:t>
      </w:r>
      <w:r>
        <w:rPr>
          <w:sz w:val="28"/>
          <w:szCs w:val="28"/>
          <w:highlight w:val="white"/>
        </w:rPr>
        <w:t xml:space="preserve">а также реализация приор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тетных национальных проектов «Семья», «Молодежь и дети», «Продолжительная активная жизнь», «Инфраструктура для жизни», «Эффективная и конкурентная экономика</w:t>
      </w:r>
      <w:r>
        <w:rPr>
          <w:sz w:val="28"/>
          <w:szCs w:val="28"/>
          <w:highlight w:val="white"/>
        </w:rPr>
        <w:t xml:space="preserve">», участие в реализации федеральных и областных целевых пр</w:t>
      </w:r>
      <w:r>
        <w:rPr>
          <w:sz w:val="28"/>
          <w:szCs w:val="28"/>
          <w:highlight w:val="white"/>
        </w:rPr>
        <w:t xml:space="preserve">о</w:t>
      </w:r>
      <w:r>
        <w:rPr>
          <w:sz w:val="28"/>
          <w:szCs w:val="28"/>
          <w:highlight w:val="white"/>
        </w:rPr>
        <w:t xml:space="preserve">грам</w:t>
      </w:r>
      <w:r>
        <w:rPr>
          <w:sz w:val="28"/>
          <w:szCs w:val="28"/>
          <w:highlight w:val="white"/>
        </w:rPr>
        <w:t xml:space="preserve">м, концепций, стратегий, реализация районных программ, проектов и мероприятий, направленных на социально-экономическое развитие муниципал</w:t>
      </w:r>
      <w:r>
        <w:rPr>
          <w:sz w:val="28"/>
          <w:szCs w:val="28"/>
          <w:highlight w:val="white"/>
        </w:rPr>
        <w:t xml:space="preserve">ь</w:t>
      </w:r>
      <w:r>
        <w:rPr>
          <w:sz w:val="28"/>
          <w:szCs w:val="28"/>
          <w:highlight w:val="white"/>
        </w:rPr>
        <w:t xml:space="preserve">ного округа. 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целях обеспечения надлежащего профессионального уровня лиц, назначаемых на муниципальные должно</w:t>
      </w:r>
      <w:r>
        <w:rPr>
          <w:sz w:val="28"/>
          <w:szCs w:val="28"/>
          <w:highlight w:val="white"/>
        </w:rPr>
        <w:t xml:space="preserve">сти муниципальной службы Администрации Чернянского муниципального округа</w:t>
      </w:r>
      <w:r>
        <w:rPr>
          <w:sz w:val="28"/>
          <w:szCs w:val="28"/>
          <w:highlight w:val="white"/>
        </w:rPr>
        <w:t xml:space="preserve">, разработаны и утверждены  квалификационные требования, </w:t>
      </w:r>
      <w:r>
        <w:rPr>
          <w:sz w:val="28"/>
          <w:szCs w:val="28"/>
          <w:highlight w:val="white"/>
        </w:rPr>
        <w:t xml:space="preserve">предъ</w:t>
      </w:r>
      <w:r>
        <w:rPr>
          <w:sz w:val="28"/>
          <w:szCs w:val="28"/>
          <w:highlight w:val="white"/>
        </w:rPr>
        <w:t xml:space="preserve">являемые</w:t>
      </w:r>
      <w:r>
        <w:rPr>
          <w:sz w:val="28"/>
          <w:szCs w:val="28"/>
          <w:highlight w:val="white"/>
        </w:rPr>
        <w:t xml:space="preserve">  к муниципальным должностям муниц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пальной службы 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  <w:t xml:space="preserve">В целях обеспечения надлежащего профессионального уровня лиц, назначаемых на муниципальные должно</w:t>
      </w:r>
      <w:r>
        <w:rPr>
          <w:sz w:val="28"/>
          <w:szCs w:val="28"/>
          <w:highlight w:val="white"/>
        </w:rPr>
        <w:t xml:space="preserve">сти муниципальной службы Администрации Чернянского муниципального округа</w:t>
      </w:r>
      <w:r>
        <w:rPr>
          <w:sz w:val="28"/>
          <w:szCs w:val="28"/>
          <w:highlight w:val="white"/>
        </w:rPr>
        <w:t xml:space="preserve">, разработаны и утверждены  квалификационные требования, </w:t>
      </w:r>
      <w:r>
        <w:rPr>
          <w:sz w:val="28"/>
          <w:szCs w:val="28"/>
          <w:highlight w:val="white"/>
        </w:rPr>
        <w:t xml:space="preserve">предъ</w:t>
      </w:r>
      <w:r>
        <w:rPr>
          <w:sz w:val="28"/>
          <w:szCs w:val="28"/>
          <w:highlight w:val="white"/>
        </w:rPr>
        <w:t xml:space="preserve">являемые</w:t>
      </w:r>
      <w:r>
        <w:rPr>
          <w:sz w:val="28"/>
          <w:szCs w:val="28"/>
          <w:highlight w:val="white"/>
        </w:rPr>
        <w:t xml:space="preserve">  к муниципальным должностям муниц</w:t>
      </w:r>
      <w:r>
        <w:rPr>
          <w:sz w:val="28"/>
          <w:szCs w:val="28"/>
          <w:highlight w:val="white"/>
        </w:rPr>
        <w:t xml:space="preserve">и</w:t>
      </w:r>
      <w:r>
        <w:rPr>
          <w:sz w:val="28"/>
          <w:szCs w:val="28"/>
          <w:highlight w:val="white"/>
        </w:rPr>
        <w:t xml:space="preserve">пальной службы .</w:t>
      </w:r>
      <w:r>
        <w:rPr>
          <w:sz w:val="28"/>
          <w:szCs w:val="28"/>
          <w:highlight w:val="white"/>
        </w:rPr>
      </w:r>
      <w:r>
        <w:rPr>
          <w:sz w:val="28"/>
          <w:szCs w:val="28"/>
          <w:highlight w:val="white"/>
        </w:rPr>
      </w:r>
    </w:p>
    <w:p>
      <w:pPr>
        <w:pStyle w:val="1003"/>
        <w:ind w:firstLine="708"/>
        <w:jc w:val="right"/>
        <w:rPr>
          <w:i/>
          <w:sz w:val="28"/>
          <w:szCs w:val="28"/>
          <w:highlight w:val="white"/>
        </w:rPr>
      </w:pPr>
      <w:r>
        <w:rPr>
          <w:i/>
          <w:sz w:val="28"/>
          <w:szCs w:val="28"/>
          <w:highlight w:val="white"/>
        </w:rPr>
        <w:t xml:space="preserve">Таблица 42</w:t>
      </w:r>
      <w:r>
        <w:rPr>
          <w:i/>
          <w:sz w:val="28"/>
          <w:szCs w:val="28"/>
          <w:highlight w:val="white"/>
        </w:rPr>
      </w:r>
      <w:r>
        <w:rPr>
          <w:i/>
          <w:sz w:val="28"/>
          <w:szCs w:val="28"/>
          <w:highlight w:val="white"/>
        </w:rPr>
      </w:r>
    </w:p>
    <w:p>
      <w:pPr>
        <w:jc w:val="center"/>
        <w:rPr>
          <w:b/>
          <w:color w:val="000000"/>
          <w:sz w:val="22"/>
          <w:szCs w:val="22"/>
          <w:highlight w:val="white"/>
          <w14:ligatures w14:val="none"/>
        </w:rPr>
      </w:pPr>
      <w:r>
        <w:rPr>
          <w:b/>
          <w:bCs/>
          <w:color w:val="000000"/>
          <w:sz w:val="28"/>
          <w:szCs w:val="28"/>
          <w:highlight w:val="white"/>
        </w:rPr>
        <w:t xml:space="preserve">Кадровый состав органов местного самоуправления</w:t>
      </w:r>
      <w:r>
        <w:rPr>
          <w:b/>
          <w:bCs/>
          <w:color w:val="000000"/>
          <w:sz w:val="28"/>
          <w:szCs w:val="28"/>
          <w:highlight w:val="white"/>
        </w:rPr>
        <w:t xml:space="preserve"> </w:t>
      </w:r>
      <w:r>
        <w:rPr>
          <w:b/>
          <w:color w:val="000000"/>
          <w:sz w:val="22"/>
          <w:szCs w:val="22"/>
          <w:highlight w:val="white"/>
          <w14:ligatures w14:val="none"/>
        </w:rPr>
      </w:r>
      <w:r>
        <w:rPr>
          <w:b/>
          <w:color w:val="000000"/>
          <w:sz w:val="22"/>
          <w:szCs w:val="22"/>
          <w:highlight w:val="white"/>
          <w14:ligatures w14:val="none"/>
        </w:rPr>
      </w:r>
    </w:p>
    <w:p>
      <w:pPr>
        <w:jc w:val="center"/>
        <w:rPr>
          <w:b/>
          <w:bCs/>
          <w:color w:val="000000"/>
          <w:sz w:val="22"/>
          <w:szCs w:val="22"/>
          <w:highlight w:val="white"/>
          <w14:ligatures w14:val="none"/>
        </w:rPr>
      </w:pPr>
      <w:r>
        <w:rPr>
          <w:b/>
          <w:bCs/>
          <w:color w:val="000000"/>
          <w:sz w:val="28"/>
          <w:szCs w:val="28"/>
          <w:highlight w:val="white"/>
        </w:rPr>
        <w:t xml:space="preserve">в Чернянском муниципальном округе в 2025 г</w:t>
      </w:r>
      <w:r>
        <w:rPr>
          <w:b/>
          <w:bCs/>
          <w:color w:val="000000"/>
          <w:sz w:val="28"/>
          <w:szCs w:val="28"/>
          <w:highlight w:val="white"/>
        </w:rPr>
        <w:t xml:space="preserve">о</w:t>
      </w:r>
      <w:r>
        <w:rPr>
          <w:b/>
          <w:bCs/>
          <w:color w:val="000000"/>
          <w:sz w:val="28"/>
          <w:szCs w:val="28"/>
          <w:highlight w:val="white"/>
        </w:rPr>
        <w:t xml:space="preserve">ду</w:t>
      </w:r>
      <w:r>
        <w:rPr>
          <w:b/>
          <w:bCs/>
          <w:color w:val="000000"/>
          <w:sz w:val="22"/>
          <w:szCs w:val="22"/>
          <w:highlight w:val="white"/>
          <w14:ligatures w14:val="none"/>
        </w:rPr>
      </w:r>
      <w:r>
        <w:rPr>
          <w:b/>
          <w:bCs/>
          <w:color w:val="000000"/>
          <w:sz w:val="22"/>
          <w:szCs w:val="22"/>
          <w:highlight w:val="white"/>
          <w14:ligatures w14:val="none"/>
        </w:rPr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1E0" w:firstRow="1" w:lastRow="1" w:firstColumn="1" w:lastColumn="1" w:noHBand="0" w:noVBand="0"/>
      </w:tblPr>
      <w:tblGrid>
        <w:gridCol w:w="4461"/>
        <w:gridCol w:w="1220"/>
        <w:gridCol w:w="1220"/>
        <w:gridCol w:w="1220"/>
        <w:gridCol w:w="1220"/>
      </w:tblGrid>
      <w:tr>
        <w:tblPrEx/>
        <w:trPr>
          <w:trHeight w:val="1011"/>
        </w:trPr>
        <w:tc>
          <w:tcPr>
            <w:tcW w:w="446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2"/>
                <w:szCs w:val="22"/>
                <w:highlight w:val="white"/>
                <w14:ligatures w14:val="none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white"/>
              </w:rPr>
              <w:t xml:space="preserve">Наименование показателей</w:t>
            </w:r>
            <w:r>
              <w:rPr>
                <w:color w:val="000000"/>
                <w:sz w:val="22"/>
                <w:szCs w:val="22"/>
                <w:highlight w:val="white"/>
                <w14:ligatures w14:val="none"/>
              </w:rPr>
            </w:r>
            <w:r>
              <w:rPr>
                <w:color w:val="000000"/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gridSpan w:val="2"/>
            <w:tcW w:w="24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2"/>
                <w:szCs w:val="22"/>
                <w:highlight w:val="white"/>
                <w14:ligatures w14:val="none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white"/>
              </w:rPr>
              <w:t xml:space="preserve">Администрация и ее структурные подразделения</w:t>
            </w:r>
            <w:r>
              <w:rPr>
                <w:color w:val="000000"/>
                <w:sz w:val="22"/>
                <w:szCs w:val="22"/>
                <w:highlight w:val="white"/>
                <w14:ligatures w14:val="none"/>
              </w:rPr>
            </w:r>
            <w:r>
              <w:rPr>
                <w:color w:val="000000"/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gridSpan w:val="2"/>
            <w:tcW w:w="244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color w:val="000000"/>
                <w:sz w:val="22"/>
                <w:szCs w:val="22"/>
                <w:highlight w:val="white"/>
                <w14:ligatures w14:val="none"/>
              </w:rPr>
            </w:pPr>
            <w:r>
              <w:rPr>
                <w:b/>
                <w:bCs/>
                <w:color w:val="000000"/>
                <w:sz w:val="24"/>
                <w:szCs w:val="24"/>
                <w:highlight w:val="white"/>
              </w:rPr>
              <w:t xml:space="preserve">Территориальные управления</w:t>
            </w:r>
            <w:r>
              <w:rPr>
                <w:color w:val="000000"/>
                <w:sz w:val="22"/>
                <w:szCs w:val="22"/>
                <w:highlight w:val="white"/>
                <w14:ligatures w14:val="none"/>
              </w:rPr>
            </w:r>
            <w:r>
              <w:rPr>
                <w:color w:val="000000"/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326"/>
        </w:trPr>
        <w:tc>
          <w:tcPr>
            <w:tcW w:w="4461" w:type="dxa"/>
            <w:vAlign w:val="center"/>
            <w:textDirection w:val="lrTb"/>
            <w:noWrap w:val="false"/>
          </w:tcPr>
          <w:p>
            <w:pPr>
              <w:ind w:firstLine="0"/>
              <w:jc w:val="both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чел.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%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чел.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%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273"/>
        </w:trPr>
        <w:tc>
          <w:tcPr>
            <w:tcW w:w="4461" w:type="dxa"/>
            <w:vAlign w:val="center"/>
            <w:textDirection w:val="lrTb"/>
            <w:noWrap w:val="false"/>
          </w:tcPr>
          <w:p>
            <w:pPr>
              <w:ind w:firstLine="0"/>
              <w:jc w:val="both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Численность работников ОМСУ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  <w:lang w:val="en-US"/>
              </w:rPr>
              <w:t xml:space="preserve">109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  <w:lang w:val="en-US"/>
              </w:rPr>
              <w:t xml:space="preserve">100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32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100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273"/>
        </w:trPr>
        <w:tc>
          <w:tcPr>
            <w:tcW w:w="4461" w:type="dxa"/>
            <w:vAlign w:val="center"/>
            <w:textDirection w:val="lrTb"/>
            <w:noWrap w:val="false"/>
          </w:tcPr>
          <w:p>
            <w:pPr>
              <w:ind w:firstLine="0"/>
              <w:jc w:val="both"/>
              <w:rPr>
                <w:b/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Пол:</w:t>
            </w:r>
            <w:r>
              <w:rPr>
                <w:b/>
                <w:sz w:val="22"/>
                <w:szCs w:val="22"/>
                <w:highlight w:val="white"/>
                <w14:ligatures w14:val="none"/>
              </w:rPr>
            </w:r>
            <w:r>
              <w:rPr>
                <w:b/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273"/>
        </w:trPr>
        <w:tc>
          <w:tcPr>
            <w:tcW w:w="4461" w:type="dxa"/>
            <w:vAlign w:val="center"/>
            <w:textDirection w:val="lrTb"/>
            <w:noWrap w:val="false"/>
          </w:tcPr>
          <w:p>
            <w:pPr>
              <w:ind w:firstLine="0"/>
              <w:jc w:val="both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Мужчины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  <w:lang w:val="en-US"/>
              </w:rPr>
              <w:t xml:space="preserve">29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27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6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19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273"/>
        </w:trPr>
        <w:tc>
          <w:tcPr>
            <w:tcW w:w="4461" w:type="dxa"/>
            <w:vAlign w:val="center"/>
            <w:textDirection w:val="lrTb"/>
            <w:noWrap w:val="false"/>
          </w:tcPr>
          <w:p>
            <w:pPr>
              <w:ind w:firstLine="0"/>
              <w:jc w:val="both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Женщины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80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73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26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81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273"/>
        </w:trPr>
        <w:tc>
          <w:tcPr>
            <w:tcW w:w="4461" w:type="dxa"/>
            <w:vAlign w:val="center"/>
            <w:textDirection w:val="lrTb"/>
            <w:noWrap w:val="false"/>
          </w:tcPr>
          <w:p>
            <w:pPr>
              <w:ind w:firstLine="0"/>
              <w:jc w:val="both"/>
              <w:rPr>
                <w:b/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Образование:</w:t>
            </w:r>
            <w:r>
              <w:rPr>
                <w:b/>
                <w:sz w:val="22"/>
                <w:szCs w:val="22"/>
                <w:highlight w:val="white"/>
                <w14:ligatures w14:val="none"/>
              </w:rPr>
            </w:r>
            <w:r>
              <w:rPr>
                <w:b/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273"/>
        </w:trPr>
        <w:tc>
          <w:tcPr>
            <w:tcW w:w="4461" w:type="dxa"/>
            <w:vAlign w:val="center"/>
            <w:textDirection w:val="lrTb"/>
            <w:noWrap w:val="false"/>
          </w:tcPr>
          <w:p>
            <w:pPr>
              <w:ind w:firstLine="0"/>
              <w:jc w:val="both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Высшее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  <w:lang w:val="en-US"/>
              </w:rPr>
              <w:t xml:space="preserve">105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96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25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78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273"/>
        </w:trPr>
        <w:tc>
          <w:tcPr>
            <w:tcW w:w="4461" w:type="dxa"/>
            <w:vAlign w:val="center"/>
            <w:textDirection w:val="lrTb"/>
            <w:noWrap w:val="false"/>
          </w:tcPr>
          <w:p>
            <w:pPr>
              <w:ind w:firstLine="0"/>
              <w:jc w:val="both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Среднее специальное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4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4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7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22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273"/>
        </w:trPr>
        <w:tc>
          <w:tcPr>
            <w:tcW w:w="4461" w:type="dxa"/>
            <w:vAlign w:val="center"/>
            <w:textDirection w:val="lrTb"/>
            <w:noWrap w:val="false"/>
          </w:tcPr>
          <w:p>
            <w:pPr>
              <w:ind w:firstLine="0"/>
              <w:jc w:val="both"/>
              <w:rPr>
                <w:b/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Возраст:</w:t>
            </w:r>
            <w:r>
              <w:rPr>
                <w:b/>
                <w:sz w:val="22"/>
                <w:szCs w:val="22"/>
                <w:highlight w:val="white"/>
                <w14:ligatures w14:val="none"/>
              </w:rPr>
            </w:r>
            <w:r>
              <w:rPr>
                <w:b/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273"/>
        </w:trPr>
        <w:tc>
          <w:tcPr>
            <w:tcW w:w="4461" w:type="dxa"/>
            <w:vAlign w:val="center"/>
            <w:textDirection w:val="lrTb"/>
            <w:noWrap w:val="false"/>
          </w:tcPr>
          <w:p>
            <w:pPr>
              <w:ind w:firstLine="0"/>
              <w:jc w:val="both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до 30 лет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6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6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0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0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415"/>
        </w:trPr>
        <w:tc>
          <w:tcPr>
            <w:tcW w:w="4461" w:type="dxa"/>
            <w:vAlign w:val="center"/>
            <w:textDirection w:val="lrTb"/>
            <w:noWrap w:val="false"/>
          </w:tcPr>
          <w:p>
            <w:pPr>
              <w:ind w:firstLine="0"/>
              <w:jc w:val="both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30-55 для женщин (30-60 для му</w:t>
            </w:r>
            <w:r>
              <w:rPr>
                <w:sz w:val="22"/>
                <w:szCs w:val="22"/>
                <w:highlight w:val="white"/>
              </w:rPr>
              <w:t xml:space="preserve">ж</w:t>
            </w:r>
            <w:r>
              <w:rPr>
                <w:sz w:val="22"/>
                <w:szCs w:val="22"/>
                <w:highlight w:val="white"/>
              </w:rPr>
              <w:t xml:space="preserve">чин) лет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96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88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29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90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415"/>
        </w:trPr>
        <w:tc>
          <w:tcPr>
            <w:tcW w:w="4461" w:type="dxa"/>
            <w:vAlign w:val="center"/>
            <w:textDirection w:val="lrTb"/>
            <w:noWrap w:val="false"/>
          </w:tcPr>
          <w:p>
            <w:pPr>
              <w:ind w:firstLine="0"/>
              <w:jc w:val="both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свыше 55 лет женщины (60 лет мужчины)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  <w:lang w:val="en-US"/>
              </w:rPr>
              <w:t xml:space="preserve">7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6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3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9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273"/>
        </w:trPr>
        <w:tc>
          <w:tcPr>
            <w:tcW w:w="4461" w:type="dxa"/>
            <w:vAlign w:val="center"/>
            <w:textDirection w:val="lrTb"/>
            <w:noWrap w:val="false"/>
          </w:tcPr>
          <w:p>
            <w:pPr>
              <w:ind w:firstLine="0"/>
              <w:jc w:val="both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Стаж: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273"/>
        </w:trPr>
        <w:tc>
          <w:tcPr>
            <w:tcW w:w="4461" w:type="dxa"/>
            <w:vAlign w:val="center"/>
            <w:textDirection w:val="lrTb"/>
            <w:noWrap w:val="false"/>
          </w:tcPr>
          <w:p>
            <w:pPr>
              <w:ind w:firstLine="0"/>
              <w:jc w:val="both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до 5 лет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15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14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7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22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273"/>
        </w:trPr>
        <w:tc>
          <w:tcPr>
            <w:tcW w:w="4461" w:type="dxa"/>
            <w:vAlign w:val="center"/>
            <w:textDirection w:val="lrTb"/>
            <w:noWrap w:val="false"/>
          </w:tcPr>
          <w:p>
            <w:pPr>
              <w:ind w:firstLine="0"/>
              <w:jc w:val="both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5-10 лет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  <w:lang w:val="en-US"/>
              </w:rPr>
              <w:t xml:space="preserve">7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6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11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34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</w:tr>
      <w:tr>
        <w:tblPrEx/>
        <w:trPr>
          <w:trHeight w:val="273"/>
        </w:trPr>
        <w:tc>
          <w:tcPr>
            <w:tcW w:w="4461" w:type="dxa"/>
            <w:vAlign w:val="center"/>
            <w:textDirection w:val="lrTb"/>
            <w:noWrap w:val="false"/>
          </w:tcPr>
          <w:p>
            <w:pPr>
              <w:ind w:firstLine="0"/>
              <w:jc w:val="both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свыше 10 лет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  <w:lang w:val="en-US"/>
              </w:rPr>
              <w:t xml:space="preserve">87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80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14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  <w:tc>
          <w:tcPr>
            <w:tcW w:w="1220" w:type="dxa"/>
            <w:vAlign w:val="center"/>
            <w:textDirection w:val="lrTb"/>
            <w:noWrap w:val="false"/>
          </w:tcPr>
          <w:p>
            <w:pPr>
              <w:ind w:firstLine="0"/>
              <w:jc w:val="center"/>
              <w:rPr>
                <w:sz w:val="22"/>
                <w:szCs w:val="22"/>
                <w:highlight w:val="white"/>
                <w14:ligatures w14:val="none"/>
              </w:rPr>
            </w:pPr>
            <w:r>
              <w:rPr>
                <w:sz w:val="22"/>
                <w:szCs w:val="22"/>
                <w:highlight w:val="white"/>
              </w:rPr>
              <w:t xml:space="preserve">44</w:t>
            </w:r>
            <w:r>
              <w:rPr>
                <w:sz w:val="22"/>
                <w:szCs w:val="22"/>
                <w:highlight w:val="white"/>
                <w14:ligatures w14:val="none"/>
              </w:rPr>
            </w:r>
            <w:r>
              <w:rPr>
                <w:sz w:val="22"/>
                <w:szCs w:val="22"/>
                <w:highlight w:val="white"/>
                <w14:ligatures w14:val="none"/>
              </w:rPr>
            </w:r>
          </w:p>
        </w:tc>
      </w:tr>
    </w:tbl>
    <w:p>
      <w:pPr>
        <w:ind w:firstLine="720"/>
        <w:jc w:val="both"/>
        <w:rPr>
          <w:sz w:val="22"/>
          <w:szCs w:val="22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8"/>
          <w:szCs w:val="28"/>
          <w:highlight w:val="white"/>
          <w:lang w:val="ru-RU"/>
        </w:rPr>
        <w:t xml:space="preserve">Кадровый состав органов местного самоуправления Чернянского муниципального округа характеризуется следующими показателями. Всего в них трудится 141 человек (из них 109 — в Администрации Чернянского муниципального округа и 32 — в территориальных управлениях</w:t>
      </w:r>
      <w:r>
        <w:rPr>
          <w:sz w:val="28"/>
          <w:szCs w:val="28"/>
          <w:highlight w:val="white"/>
          <w:lang w:val="ru-RU"/>
        </w:rPr>
        <w:t xml:space="preserve"> Администрации).</w:t>
      </w:r>
      <w:r>
        <w:rPr>
          <w:sz w:val="22"/>
          <w:szCs w:val="22"/>
          <w:highlight w:val="white"/>
          <w:lang w:val="ru-RU"/>
          <w14:ligatures w14:val="none"/>
        </w:rPr>
      </w:r>
      <w:r>
        <w:rPr>
          <w:sz w:val="22"/>
          <w:szCs w:val="22"/>
          <w:highlight w:val="white"/>
          <w14:ligatures w14:val="none"/>
        </w:rPr>
      </w:r>
    </w:p>
    <w:p>
      <w:pPr>
        <w:ind w:firstLine="720"/>
        <w:jc w:val="both"/>
        <w:rPr>
          <w:sz w:val="22"/>
          <w:szCs w:val="22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8"/>
          <w:szCs w:val="28"/>
          <w:highlight w:val="white"/>
          <w:lang w:val="ru-RU"/>
        </w:rPr>
        <w:t xml:space="preserve">В Администрации Чернянского муниципального округа и её структурных подразделениях работают 73% женщин и 27% мужчин, в территориальных управлениях — 81% женщин и 19% мужчин. Подавляющее большинство работников (от 30 до 60 лет) составляет 88% в А</w:t>
      </w:r>
      <w:r>
        <w:rPr>
          <w:sz w:val="28"/>
          <w:szCs w:val="28"/>
          <w:highlight w:val="white"/>
          <w:lang w:val="ru-RU"/>
        </w:rPr>
        <w:t xml:space="preserve">дминистрации Чернянского муниципального округа и 90% — в территориальных управлениях Администрации.</w:t>
      </w:r>
      <w:r>
        <w:rPr>
          <w:sz w:val="22"/>
          <w:szCs w:val="22"/>
          <w:highlight w:val="white"/>
          <w:lang w:val="ru-RU"/>
          <w14:ligatures w14:val="none"/>
        </w:rPr>
      </w:r>
      <w:r>
        <w:rPr>
          <w:sz w:val="22"/>
          <w:szCs w:val="22"/>
          <w:highlight w:val="white"/>
          <w14:ligatures w14:val="none"/>
        </w:rPr>
      </w:r>
    </w:p>
    <w:p>
      <w:pPr>
        <w:ind w:firstLine="720"/>
        <w:jc w:val="both"/>
        <w:rPr>
          <w:sz w:val="22"/>
          <w:szCs w:val="22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8"/>
          <w:szCs w:val="28"/>
          <w:highlight w:val="white"/>
          <w:lang w:val="ru-RU"/>
        </w:rPr>
        <w:t xml:space="preserve">Высшее образов</w:t>
      </w:r>
      <w:r>
        <w:rPr>
          <w:sz w:val="28"/>
          <w:szCs w:val="28"/>
          <w:highlight w:val="white"/>
          <w:lang w:val="ru-RU"/>
        </w:rPr>
        <w:t xml:space="preserve">ание имеют 105 человек в Администрации Чернянского муниципального округа (96% от общей численности работников) и 25 человек в территориальных управлениях Администрации (78% от общей численности). Стаж работы до 5 лет отмечен у 14% работников Администрации </w:t>
      </w:r>
      <w:r>
        <w:rPr>
          <w:sz w:val="28"/>
          <w:szCs w:val="28"/>
          <w:highlight w:val="white"/>
          <w:lang w:val="ru-RU"/>
        </w:rPr>
        <w:t xml:space="preserve">Чернянского муниципального округа</w:t>
      </w:r>
      <w:r>
        <w:rPr>
          <w:sz w:val="28"/>
          <w:szCs w:val="28"/>
          <w:highlight w:val="white"/>
          <w:lang w:val="ru-RU"/>
        </w:rPr>
        <w:t xml:space="preserve"> </w:t>
      </w:r>
      <w:r>
        <w:rPr>
          <w:sz w:val="28"/>
          <w:szCs w:val="28"/>
          <w:highlight w:val="white"/>
          <w:lang w:val="ru-RU"/>
        </w:rPr>
        <w:t xml:space="preserve">и 22% — в территориальных управлениях</w:t>
      </w:r>
      <w:r>
        <w:rPr>
          <w:sz w:val="28"/>
          <w:szCs w:val="28"/>
          <w:highlight w:val="white"/>
          <w:lang w:val="ru-RU"/>
        </w:rPr>
        <w:t xml:space="preserve"> Администрации, а стаж свыше 10 лет — у 80% работников Администрации </w:t>
      </w:r>
      <w:r>
        <w:rPr>
          <w:sz w:val="28"/>
          <w:szCs w:val="28"/>
          <w:highlight w:val="white"/>
          <w:lang w:val="ru-RU"/>
        </w:rPr>
        <w:t xml:space="preserve">Чернянского муниципального округа</w:t>
      </w:r>
      <w:r>
        <w:rPr>
          <w:sz w:val="28"/>
          <w:szCs w:val="28"/>
          <w:highlight w:val="white"/>
          <w:lang w:val="ru-RU"/>
        </w:rPr>
        <w:t xml:space="preserve"> </w:t>
      </w:r>
      <w:r>
        <w:rPr>
          <w:sz w:val="28"/>
          <w:szCs w:val="28"/>
          <w:highlight w:val="white"/>
          <w:lang w:val="ru-RU"/>
        </w:rPr>
        <w:t xml:space="preserve">и 44% — в территориальных управлен</w:t>
      </w:r>
      <w:r>
        <w:rPr>
          <w:sz w:val="28"/>
          <w:szCs w:val="28"/>
          <w:highlight w:val="white"/>
          <w:lang w:val="ru-RU"/>
        </w:rPr>
        <w:t xml:space="preserve">и</w:t>
      </w:r>
      <w:r>
        <w:rPr>
          <w:sz w:val="28"/>
          <w:szCs w:val="28"/>
          <w:highlight w:val="white"/>
          <w:lang w:val="ru-RU"/>
        </w:rPr>
        <w:t xml:space="preserve">я</w:t>
      </w:r>
      <w:r>
        <w:rPr>
          <w:sz w:val="28"/>
          <w:szCs w:val="28"/>
          <w:highlight w:val="white"/>
          <w:lang w:val="ru-RU"/>
        </w:rPr>
        <w:t xml:space="preserve">х</w:t>
      </w:r>
      <w:r>
        <w:rPr>
          <w:sz w:val="28"/>
          <w:szCs w:val="28"/>
          <w:highlight w:val="white"/>
          <w:lang w:val="ru-RU"/>
        </w:rPr>
        <w:t xml:space="preserve"> </w:t>
      </w:r>
      <w:r>
        <w:rPr>
          <w:sz w:val="28"/>
          <w:szCs w:val="28"/>
          <w:highlight w:val="white"/>
          <w:lang w:val="ru-RU"/>
        </w:rPr>
        <w:t xml:space="preserve">А</w:t>
      </w:r>
      <w:r>
        <w:rPr>
          <w:sz w:val="28"/>
          <w:szCs w:val="28"/>
          <w:highlight w:val="white"/>
          <w:lang w:val="ru-RU"/>
        </w:rPr>
        <w:t xml:space="preserve">д</w:t>
      </w:r>
      <w:r>
        <w:rPr>
          <w:sz w:val="28"/>
          <w:szCs w:val="28"/>
          <w:highlight w:val="white"/>
          <w:lang w:val="ru-RU"/>
        </w:rPr>
        <w:t xml:space="preserve">м</w:t>
      </w:r>
      <w:r>
        <w:rPr>
          <w:sz w:val="28"/>
          <w:szCs w:val="28"/>
          <w:highlight w:val="white"/>
          <w:lang w:val="ru-RU"/>
        </w:rPr>
        <w:t xml:space="preserve">и</w:t>
      </w:r>
      <w:r>
        <w:rPr>
          <w:sz w:val="28"/>
          <w:szCs w:val="28"/>
          <w:highlight w:val="white"/>
          <w:lang w:val="ru-RU"/>
        </w:rPr>
        <w:t xml:space="preserve">н</w:t>
      </w:r>
      <w:r>
        <w:rPr>
          <w:sz w:val="28"/>
          <w:szCs w:val="28"/>
          <w:highlight w:val="white"/>
          <w:lang w:val="ru-RU"/>
        </w:rPr>
        <w:t xml:space="preserve">и</w:t>
      </w:r>
      <w:r>
        <w:rPr>
          <w:sz w:val="28"/>
          <w:szCs w:val="28"/>
          <w:highlight w:val="white"/>
          <w:lang w:val="ru-RU"/>
        </w:rPr>
        <w:t xml:space="preserve">с</w:t>
      </w:r>
      <w:r>
        <w:rPr>
          <w:sz w:val="28"/>
          <w:szCs w:val="28"/>
          <w:highlight w:val="white"/>
          <w:lang w:val="ru-RU"/>
        </w:rPr>
        <w:t xml:space="preserve">т</w:t>
      </w:r>
      <w:r>
        <w:rPr>
          <w:sz w:val="28"/>
          <w:szCs w:val="28"/>
          <w:highlight w:val="white"/>
          <w:lang w:val="ru-RU"/>
        </w:rPr>
        <w:t xml:space="preserve">р</w:t>
      </w:r>
      <w:r>
        <w:rPr>
          <w:sz w:val="28"/>
          <w:szCs w:val="28"/>
          <w:highlight w:val="white"/>
          <w:lang w:val="ru-RU"/>
        </w:rPr>
        <w:t xml:space="preserve">а</w:t>
      </w:r>
      <w:r>
        <w:rPr>
          <w:sz w:val="28"/>
          <w:szCs w:val="28"/>
          <w:highlight w:val="white"/>
          <w:lang w:val="ru-RU"/>
        </w:rPr>
        <w:t xml:space="preserve">ц</w:t>
      </w:r>
      <w:r>
        <w:rPr>
          <w:sz w:val="28"/>
          <w:szCs w:val="28"/>
          <w:highlight w:val="white"/>
          <w:lang w:val="ru-RU"/>
        </w:rPr>
        <w:t xml:space="preserve">и</w:t>
      </w:r>
      <w:r>
        <w:rPr>
          <w:sz w:val="28"/>
          <w:szCs w:val="28"/>
          <w:highlight w:val="white"/>
          <w:lang w:val="ru-RU"/>
        </w:rPr>
        <w:t xml:space="preserve">и</w:t>
      </w:r>
      <w:r>
        <w:rPr>
          <w:sz w:val="28"/>
          <w:szCs w:val="28"/>
          <w:highlight w:val="white"/>
          <w:lang w:val="ru-RU"/>
        </w:rPr>
        <w:t xml:space="preserve">.</w:t>
      </w:r>
      <w:r>
        <w:rPr>
          <w:sz w:val="22"/>
          <w:szCs w:val="22"/>
          <w:highlight w:val="white"/>
          <w:lang w:val="ru-RU"/>
          <w14:ligatures w14:val="none"/>
        </w:rPr>
      </w:r>
      <w:r>
        <w:rPr>
          <w:sz w:val="22"/>
          <w:szCs w:val="22"/>
          <w:highlight w:val="white"/>
          <w14:ligatures w14:val="none"/>
        </w:rPr>
      </w:r>
    </w:p>
    <w:p>
      <w:pPr>
        <w:ind w:firstLine="720"/>
        <w:jc w:val="both"/>
        <w:rPr>
          <w:sz w:val="22"/>
          <w:szCs w:val="22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8"/>
          <w:szCs w:val="28"/>
          <w:highlight w:val="white"/>
          <w:lang w:val="ru-RU"/>
        </w:rPr>
        <w:t xml:space="preserve">Тем не менее, в Чернянском муниципальном округе прослеживается актуальная проблема — нехватка молодых, перспективных управленческих кадров.</w:t>
      </w:r>
      <w:r>
        <w:rPr>
          <w:sz w:val="22"/>
          <w:szCs w:val="22"/>
          <w:highlight w:val="white"/>
          <w:lang w:val="ru-RU"/>
          <w14:ligatures w14:val="none"/>
        </w:rPr>
      </w:r>
      <w:r>
        <w:rPr>
          <w:sz w:val="22"/>
          <w:szCs w:val="22"/>
          <w:highlight w:val="white"/>
          <w14:ligatures w14:val="none"/>
        </w:rPr>
      </w:r>
    </w:p>
    <w:p>
      <w:pPr>
        <w:ind w:firstLine="720"/>
        <w:jc w:val="both"/>
        <w:rPr>
          <w:sz w:val="22"/>
          <w:szCs w:val="22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8"/>
          <w:szCs w:val="28"/>
          <w:highlight w:val="white"/>
          <w:lang w:val="ru-RU"/>
        </w:rPr>
        <w:t xml:space="preserve">Проведенный анализ данных позволяет сделать вывод, что ключевыми векторами кадровой политики являются целенаправленное обновление и планомерная ротация сотрудников, направленные на совершенствование и развитие управленческого потенциала.</w:t>
      </w:r>
      <w:r>
        <w:rPr>
          <w:sz w:val="22"/>
          <w:szCs w:val="22"/>
          <w:highlight w:val="white"/>
          <w:lang w:val="ru-RU"/>
          <w14:ligatures w14:val="none"/>
        </w:rPr>
      </w:r>
      <w:r>
        <w:rPr>
          <w:sz w:val="22"/>
          <w:szCs w:val="22"/>
          <w:highlight w:val="white"/>
          <w14:ligatures w14:val="none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pStyle w:val="1058"/>
        <w:numPr>
          <w:ilvl w:val="1"/>
          <w:numId w:val="7"/>
        </w:numPr>
        <w:ind w:left="0" w:firstLine="0"/>
        <w:jc w:val="center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Бюджетный потенциал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1058"/>
        <w:numPr>
          <w:ilvl w:val="2"/>
          <w:numId w:val="7"/>
        </w:numPr>
        <w:ind w:left="0" w:firstLine="0"/>
        <w:jc w:val="center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Муниципальная собственность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1058"/>
        <w:ind w:left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источников доходов муниципального бюджета и фактором инвестиционной привлекательности муниципального образования является муниципальная собственность.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43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Общая характеристика муниципального хозяйства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МО в 2011 году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7938"/>
        <w:gridCol w:w="1701"/>
      </w:tblGrid>
      <w:tr>
        <w:tblPrEx/>
        <w:trPr>
          <w:tblHeader/>
        </w:trPr>
        <w:tc>
          <w:tcPr>
            <w:tcW w:w="7938" w:type="dxa"/>
            <w:textDirection w:val="lrTb"/>
            <w:noWrap w:val="false"/>
          </w:tcPr>
          <w:p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Объекты муниципального хозяйства</w:t>
            </w:r>
            <w:r>
              <w:rPr>
                <w:b/>
                <w:sz w:val="23"/>
                <w:szCs w:val="23"/>
              </w:rPr>
            </w:r>
            <w:r>
              <w:rPr>
                <w:b/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Количество</w:t>
            </w:r>
            <w:r>
              <w:rPr>
                <w:b/>
                <w:sz w:val="23"/>
                <w:szCs w:val="23"/>
              </w:rPr>
            </w:r>
            <w:r>
              <w:rPr>
                <w:b/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Муниципальные предприятия – всего, ед.</w:t>
            </w:r>
            <w:r>
              <w:rPr>
                <w:b/>
                <w:sz w:val="23"/>
                <w:szCs w:val="23"/>
              </w:rPr>
            </w:r>
            <w:r>
              <w:rPr>
                <w:b/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4</w:t>
            </w:r>
            <w:r>
              <w:rPr>
                <w:b/>
                <w:sz w:val="23"/>
                <w:szCs w:val="23"/>
              </w:rPr>
            </w:r>
            <w:r>
              <w:rPr>
                <w:b/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том числе  в сфере: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жилищно-коммунального хозяйства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транспорта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торговли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Муниципальные учреждения – всего, ед.</w:t>
            </w:r>
            <w:r>
              <w:rPr>
                <w:b/>
                <w:sz w:val="23"/>
                <w:szCs w:val="23"/>
              </w:rPr>
            </w:r>
            <w:r>
              <w:rPr>
                <w:b/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100</w:t>
            </w:r>
            <w:r>
              <w:rPr>
                <w:b/>
                <w:sz w:val="23"/>
                <w:szCs w:val="23"/>
              </w:rPr>
            </w:r>
            <w:r>
              <w:rPr>
                <w:b/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том числе  в сфере: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образования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43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здравоохранения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культуры и спорта 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социальной защиты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органов власти и управления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32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фонд социальной поддержки населения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прочие учреждения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Муниципальный жилищный фонд, м2</w:t>
            </w:r>
            <w:r>
              <w:rPr>
                <w:b/>
                <w:sz w:val="23"/>
                <w:szCs w:val="23"/>
              </w:rPr>
            </w:r>
            <w:r>
              <w:rPr>
                <w:b/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3 784,6</w:t>
            </w:r>
            <w:r>
              <w:rPr>
                <w:b/>
                <w:sz w:val="23"/>
                <w:szCs w:val="23"/>
              </w:rPr>
            </w:r>
            <w:r>
              <w:rPr>
                <w:b/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Земли – всего, га</w:t>
            </w:r>
            <w:r>
              <w:rPr>
                <w:b/>
                <w:sz w:val="23"/>
                <w:szCs w:val="23"/>
              </w:rPr>
            </w:r>
            <w:r>
              <w:rPr>
                <w:b/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122 747</w:t>
            </w:r>
            <w:r>
              <w:rPr>
                <w:b/>
                <w:sz w:val="23"/>
                <w:szCs w:val="23"/>
              </w:rPr>
            </w:r>
            <w:r>
              <w:rPr>
                <w:b/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Структура земель по назначению  - всего (%),</w:t>
            </w:r>
            <w:r>
              <w:rPr>
                <w:b/>
                <w:sz w:val="23"/>
                <w:szCs w:val="23"/>
              </w:rPr>
            </w:r>
            <w:r>
              <w:rPr>
                <w:b/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1034"/>
              <w:jc w:val="center"/>
              <w:tabs>
                <w:tab w:val="clear" w:pos="4677" w:leader="none"/>
                <w:tab w:val="clear" w:pos="9355" w:leader="none"/>
              </w:tabs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100</w:t>
            </w:r>
            <w:r>
              <w:rPr>
                <w:b/>
                <w:sz w:val="23"/>
                <w:szCs w:val="23"/>
              </w:rPr>
            </w:r>
            <w:r>
              <w:rPr>
                <w:b/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том числе: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1034"/>
              <w:jc w:val="center"/>
              <w:tabs>
                <w:tab w:val="clear" w:pos="4677" w:leader="none"/>
                <w:tab w:val="clear" w:pos="9355" w:leader="none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земли сельскохозяйственного назначения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1034"/>
              <w:jc w:val="center"/>
              <w:tabs>
                <w:tab w:val="clear" w:pos="4677" w:leader="none"/>
                <w:tab w:val="clear" w:pos="9355" w:leader="none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74,9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земли населенных пунктов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1034"/>
              <w:jc w:val="center"/>
              <w:tabs>
                <w:tab w:val="clear" w:pos="4677" w:leader="none"/>
                <w:tab w:val="clear" w:pos="9355" w:leader="none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9,5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земли лесного фонда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1034"/>
              <w:jc w:val="center"/>
              <w:tabs>
                <w:tab w:val="clear" w:pos="4677" w:leader="none"/>
                <w:tab w:val="clear" w:pos="9355" w:leader="none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9,9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земли промышленности, транспорта, связи и иного специального назначения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1034"/>
              <w:jc w:val="center"/>
              <w:tabs>
                <w:tab w:val="clear" w:pos="4677" w:leader="none"/>
                <w:tab w:val="clear" w:pos="9355" w:leader="none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0,74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- </w:t>
            </w:r>
            <w:r>
              <w:rPr>
                <w:sz w:val="23"/>
                <w:szCs w:val="23"/>
              </w:rPr>
              <w:t xml:space="preserve">земли запаса</w:t>
            </w:r>
            <w:r>
              <w:rPr>
                <w:b/>
                <w:sz w:val="23"/>
                <w:szCs w:val="23"/>
              </w:rPr>
            </w:r>
            <w:r>
              <w:rPr>
                <w:b/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1034"/>
              <w:jc w:val="center"/>
              <w:tabs>
                <w:tab w:val="clear" w:pos="4677" w:leader="none"/>
                <w:tab w:val="clear" w:pos="9355" w:leader="none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4,96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Структура земель по виду собственности-всего,</w:t>
            </w:r>
            <w:r>
              <w:rPr>
                <w:b/>
                <w:sz w:val="23"/>
                <w:szCs w:val="23"/>
              </w:rPr>
              <w:t xml:space="preserve">%</w:t>
            </w:r>
            <w:r>
              <w:rPr>
                <w:b/>
                <w:sz w:val="23"/>
                <w:szCs w:val="23"/>
              </w:rPr>
            </w:r>
            <w:r>
              <w:rPr>
                <w:b/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1034"/>
              <w:jc w:val="center"/>
              <w:tabs>
                <w:tab w:val="clear" w:pos="4677" w:leader="none"/>
                <w:tab w:val="clear" w:pos="9355" w:leader="none"/>
              </w:tabs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100</w:t>
            </w:r>
            <w:r>
              <w:rPr>
                <w:b/>
                <w:sz w:val="23"/>
                <w:szCs w:val="23"/>
              </w:rPr>
            </w:r>
            <w:r>
              <w:rPr>
                <w:b/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том числе: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1034"/>
              <w:jc w:val="center"/>
              <w:tabs>
                <w:tab w:val="clear" w:pos="4677" w:leader="none"/>
                <w:tab w:val="clear" w:pos="9355" w:leader="none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государственная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1034"/>
              <w:jc w:val="center"/>
              <w:tabs>
                <w:tab w:val="clear" w:pos="4677" w:leader="none"/>
                <w:tab w:val="clear" w:pos="9355" w:leader="none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46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муниципальная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1034"/>
              <w:jc w:val="center"/>
              <w:tabs>
                <w:tab w:val="clear" w:pos="4677" w:leader="none"/>
                <w:tab w:val="clear" w:pos="9355" w:leader="none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0,01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  <w:tr>
        <w:tblPrEx/>
        <w:trPr/>
        <w:tc>
          <w:tcPr>
            <w:tcW w:w="7938" w:type="dxa"/>
            <w:textDirection w:val="lrTb"/>
            <w:noWrap w:val="false"/>
          </w:tcPr>
          <w:p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частная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  <w:tc>
          <w:tcPr>
            <w:tcW w:w="1701" w:type="dxa"/>
            <w:textDirection w:val="lrTb"/>
            <w:noWrap w:val="false"/>
          </w:tcPr>
          <w:p>
            <w:pPr>
              <w:pStyle w:val="1034"/>
              <w:jc w:val="center"/>
              <w:tabs>
                <w:tab w:val="clear" w:pos="4677" w:leader="none"/>
                <w:tab w:val="clear" w:pos="9355" w:leader="none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53,99</w:t>
            </w:r>
            <w:r>
              <w:rPr>
                <w:sz w:val="23"/>
                <w:szCs w:val="23"/>
              </w:rPr>
            </w:r>
            <w:r>
              <w:rPr>
                <w:sz w:val="23"/>
                <w:szCs w:val="23"/>
              </w:rPr>
            </w:r>
          </w:p>
        </w:tc>
      </w:tr>
    </w:tbl>
    <w:p>
      <w:pPr>
        <w:ind w:firstLine="708"/>
        <w:jc w:val="both"/>
      </w:pPr>
      <w:r/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состоянию на 1 января 2012 года  функционир</w:t>
      </w:r>
      <w:r>
        <w:rPr>
          <w:sz w:val="28"/>
          <w:szCs w:val="28"/>
        </w:rPr>
        <w:t xml:space="preserve">овало </w:t>
      </w:r>
      <w:r>
        <w:rPr>
          <w:sz w:val="28"/>
          <w:szCs w:val="28"/>
        </w:rPr>
        <w:t xml:space="preserve"> 4 предприятия муни</w:t>
      </w:r>
      <w:r>
        <w:rPr>
          <w:sz w:val="28"/>
          <w:szCs w:val="28"/>
        </w:rPr>
        <w:t xml:space="preserve">ципальной формы собственности и  </w:t>
      </w:r>
      <w:r>
        <w:rPr>
          <w:sz w:val="28"/>
          <w:szCs w:val="28"/>
        </w:rPr>
        <w:t xml:space="preserve">100</w:t>
      </w:r>
      <w:r>
        <w:rPr>
          <w:sz w:val="28"/>
          <w:szCs w:val="28"/>
        </w:rPr>
        <w:t xml:space="preserve"> муниципальных учреждений</w:t>
      </w:r>
      <w:r>
        <w:rPr>
          <w:sz w:val="28"/>
          <w:szCs w:val="28"/>
        </w:rPr>
        <w:t xml:space="preserve"> общей площадью 3 784,6 </w:t>
      </w:r>
      <w:r>
        <w:rPr>
          <w:sz w:val="28"/>
          <w:szCs w:val="28"/>
        </w:rPr>
        <w:t xml:space="preserve">кв.м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доля земель относится к категории земель сельскохозяйственного назначения (</w:t>
      </w:r>
      <w:r>
        <w:rPr>
          <w:sz w:val="28"/>
          <w:szCs w:val="28"/>
        </w:rPr>
        <w:t xml:space="preserve">74,9%).</w:t>
      </w:r>
      <w:r>
        <w:rPr>
          <w:sz w:val="28"/>
          <w:szCs w:val="28"/>
        </w:rPr>
        <w:t xml:space="preserve"> 46% земель находится в </w:t>
      </w:r>
      <w:r>
        <w:rPr>
          <w:sz w:val="28"/>
          <w:szCs w:val="28"/>
        </w:rPr>
        <w:t xml:space="preserve">государственной собственности, 0,01% - в </w:t>
      </w:r>
      <w:r>
        <w:rPr>
          <w:sz w:val="28"/>
          <w:szCs w:val="28"/>
        </w:rPr>
        <w:t xml:space="preserve">муниципальной собственности. </w:t>
      </w:r>
      <w:r>
        <w:rPr>
          <w:sz w:val="28"/>
          <w:szCs w:val="28"/>
        </w:rPr>
        <w:t xml:space="preserve">Однако пре</w:t>
      </w:r>
      <w:r>
        <w:rPr>
          <w:sz w:val="28"/>
          <w:szCs w:val="28"/>
        </w:rPr>
        <w:t xml:space="preserve">о</w:t>
      </w:r>
      <w:r>
        <w:rPr>
          <w:sz w:val="28"/>
          <w:szCs w:val="28"/>
        </w:rPr>
        <w:t xml:space="preserve">бладают </w:t>
      </w:r>
      <w:r>
        <w:rPr>
          <w:sz w:val="28"/>
          <w:szCs w:val="28"/>
        </w:rPr>
        <w:t xml:space="preserve">земли, находящиеся в </w:t>
      </w:r>
      <w:r>
        <w:rPr>
          <w:sz w:val="28"/>
          <w:szCs w:val="28"/>
        </w:rPr>
        <w:t xml:space="preserve">частн</w:t>
      </w:r>
      <w:r>
        <w:rPr>
          <w:sz w:val="28"/>
          <w:szCs w:val="28"/>
        </w:rPr>
        <w:t xml:space="preserve">ой собственности</w:t>
      </w:r>
      <w:r>
        <w:rPr>
          <w:sz w:val="28"/>
          <w:szCs w:val="28"/>
        </w:rPr>
        <w:t xml:space="preserve">, их доля составляет 53,99%.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4</w:t>
      </w:r>
      <w:r>
        <w:rPr>
          <w:i/>
          <w:sz w:val="28"/>
          <w:szCs w:val="28"/>
        </w:rPr>
        <w:t xml:space="preserve">4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Поступление в бюджет муниципального образования от реализации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 аренды муниципального имущества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(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руб.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963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240"/>
        <w:gridCol w:w="1150"/>
        <w:gridCol w:w="1150"/>
        <w:gridCol w:w="1150"/>
        <w:gridCol w:w="1150"/>
        <w:gridCol w:w="1151"/>
      </w:tblGrid>
      <w:tr>
        <w:tblPrEx/>
        <w:trPr>
          <w:tblHeader/>
        </w:trPr>
        <w:tc>
          <w:tcPr>
            <w:tcW w:w="648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№ п/п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24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показателей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2007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2008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2009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2010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151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2011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648" w:type="dxa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r>
              <w:t xml:space="preserve">Реализация имущества</w:t>
            </w:r>
            <w:r/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</w:pPr>
            <w:r>
              <w:t xml:space="preserve">1 266</w:t>
            </w:r>
            <w:r/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</w:pPr>
            <w:r>
              <w:t xml:space="preserve">1 310</w:t>
            </w:r>
            <w:r/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</w:pPr>
            <w:r>
              <w:t xml:space="preserve">3 723</w:t>
            </w:r>
            <w:r/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</w:pPr>
            <w:r>
              <w:t xml:space="preserve">2 390</w:t>
            </w:r>
            <w:r/>
          </w:p>
        </w:tc>
        <w:tc>
          <w:tcPr>
            <w:tcW w:w="1151" w:type="dxa"/>
            <w:textDirection w:val="lrTb"/>
            <w:noWrap w:val="false"/>
          </w:tcPr>
          <w:p>
            <w:pPr>
              <w:jc w:val="center"/>
            </w:pPr>
            <w:r>
              <w:t xml:space="preserve">7 892</w:t>
            </w:r>
            <w:r/>
          </w:p>
        </w:tc>
      </w:tr>
      <w:tr>
        <w:tblPrEx/>
        <w:trPr/>
        <w:tc>
          <w:tcPr>
            <w:tcW w:w="648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r>
              <w:t xml:space="preserve">Продажа земли</w:t>
            </w:r>
            <w:r/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</w:pPr>
            <w:r>
              <w:t xml:space="preserve">750</w:t>
            </w:r>
            <w:r/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</w:pPr>
            <w:r>
              <w:t xml:space="preserve">5 239</w:t>
            </w:r>
            <w:r/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</w:pPr>
            <w:r>
              <w:t xml:space="preserve">2 590</w:t>
            </w:r>
            <w:r/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</w:pPr>
            <w:r>
              <w:t xml:space="preserve">2 860</w:t>
            </w:r>
            <w:r/>
          </w:p>
        </w:tc>
        <w:tc>
          <w:tcPr>
            <w:tcW w:w="1151" w:type="dxa"/>
            <w:textDirection w:val="lrTb"/>
            <w:noWrap w:val="false"/>
          </w:tcPr>
          <w:p>
            <w:pPr>
              <w:jc w:val="center"/>
            </w:pPr>
            <w:r>
              <w:t xml:space="preserve">2 015</w:t>
            </w:r>
            <w:r/>
          </w:p>
        </w:tc>
      </w:tr>
      <w:tr>
        <w:tblPrEx/>
        <w:trPr/>
        <w:tc>
          <w:tcPr>
            <w:tcW w:w="648" w:type="dxa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r>
              <w:t xml:space="preserve">Аренда муниципального имущества</w:t>
            </w:r>
            <w:r/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</w:pPr>
            <w:r>
              <w:t xml:space="preserve">689</w:t>
            </w:r>
            <w:r/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</w:pPr>
            <w:r>
              <w:t xml:space="preserve">2 049</w:t>
            </w:r>
            <w:r/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</w:pPr>
            <w:r>
              <w:t xml:space="preserve">2 790</w:t>
            </w:r>
            <w:r/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</w:pPr>
            <w:r>
              <w:t xml:space="preserve">2 835</w:t>
            </w:r>
            <w:r/>
          </w:p>
        </w:tc>
        <w:tc>
          <w:tcPr>
            <w:tcW w:w="1151" w:type="dxa"/>
            <w:textDirection w:val="lrTb"/>
            <w:noWrap w:val="false"/>
          </w:tcPr>
          <w:p>
            <w:pPr>
              <w:jc w:val="center"/>
            </w:pPr>
            <w:r>
              <w:t xml:space="preserve">3 367</w:t>
            </w:r>
            <w:r/>
          </w:p>
        </w:tc>
      </w:tr>
      <w:tr>
        <w:tblPrEx/>
        <w:trPr/>
        <w:tc>
          <w:tcPr>
            <w:tcW w:w="648" w:type="dxa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r>
              <w:t xml:space="preserve">Аренда земли</w:t>
            </w:r>
            <w:r/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</w:pPr>
            <w:r>
              <w:t xml:space="preserve">2 515</w:t>
            </w:r>
            <w:r/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</w:pPr>
            <w:r>
              <w:t xml:space="preserve">5 110</w:t>
            </w:r>
            <w:r/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</w:pPr>
            <w:r>
              <w:t xml:space="preserve">9 412</w:t>
            </w:r>
            <w:r/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</w:pPr>
            <w:r>
              <w:t xml:space="preserve">16 021</w:t>
            </w:r>
            <w:r/>
          </w:p>
        </w:tc>
        <w:tc>
          <w:tcPr>
            <w:tcW w:w="1151" w:type="dxa"/>
            <w:textDirection w:val="lrTb"/>
            <w:noWrap w:val="false"/>
          </w:tcPr>
          <w:p>
            <w:pPr>
              <w:jc w:val="center"/>
            </w:pPr>
            <w:r>
              <w:t xml:space="preserve">15 463</w:t>
            </w:r>
            <w:r/>
          </w:p>
        </w:tc>
      </w:tr>
      <w:tr>
        <w:tblPrEx/>
        <w:trPr/>
        <w:tc>
          <w:tcPr>
            <w:tcW w:w="648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240" w:type="dxa"/>
            <w:textDirection w:val="lrTb"/>
            <w:noWrap w:val="false"/>
          </w:tcPr>
          <w:p>
            <w:pPr>
              <w:rPr>
                <w:b/>
              </w:rPr>
            </w:pPr>
            <w:r>
              <w:rPr>
                <w:b/>
              </w:rPr>
              <w:t xml:space="preserve">Всего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5 290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13 708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18 515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15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24 106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151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28 737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</w:tbl>
    <w:p>
      <w:pPr>
        <w:ind w:firstLine="708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2011 году поступления в бюджет муниципального образования</w:t>
      </w:r>
      <w:r>
        <w:rPr>
          <w:sz w:val="28"/>
          <w:szCs w:val="28"/>
        </w:rPr>
        <w:t xml:space="preserve"> от управления имуществом составили 28 737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руб.</w:t>
      </w:r>
      <w:r>
        <w:rPr>
          <w:sz w:val="28"/>
          <w:szCs w:val="28"/>
        </w:rPr>
        <w:t xml:space="preserve">, что в 5,4 раза больше, чем в 2007 году.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Бюджет муниципального образования</w:t>
      </w:r>
      <w:r>
        <w:rPr>
          <w:sz w:val="28"/>
          <w:szCs w:val="28"/>
        </w:rPr>
        <w:t xml:space="preserve"> служит основным инструментом регулирования экономики, исполняя роль финансового плана муниципально</w:t>
      </w:r>
      <w:r>
        <w:rPr>
          <w:sz w:val="28"/>
          <w:szCs w:val="28"/>
        </w:rPr>
        <w:t xml:space="preserve">го образования. Бюджет обеспечивает большую часть расходов отраслей экономики района, имеет социальную направленность.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41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Проводимая бюджетная политика муниципального образования в целом соответствует стратегическим целям развития  и повышению качества жизни граждан.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41"/>
        <w:spacing w:after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</w:r>
      <w:r>
        <w:rPr>
          <w:rFonts w:ascii="Times New Roman" w:hAnsi="Times New Roman"/>
          <w:color w:val="ff0000"/>
          <w:sz w:val="28"/>
          <w:szCs w:val="28"/>
        </w:rPr>
      </w:r>
      <w:r>
        <w:rPr>
          <w:rFonts w:ascii="Times New Roman" w:hAnsi="Times New Roman"/>
          <w:color w:val="ff0000"/>
          <w:sz w:val="28"/>
          <w:szCs w:val="28"/>
        </w:rPr>
      </w:r>
    </w:p>
    <w:p>
      <w:pPr>
        <w:pStyle w:val="1041"/>
        <w:spacing w:after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drawing>
          <wp:inline distT="0" distB="0" distL="0" distR="0">
            <wp:extent cx="5600700" cy="2286000"/>
            <wp:effectExtent l="0" t="0" r="0" b="0"/>
            <wp:docPr id="10" name="Объект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rPr>
          <w:rFonts w:ascii="Times New Roman" w:hAnsi="Times New Roman"/>
          <w:color w:val="ff0000"/>
          <w:sz w:val="28"/>
          <w:szCs w:val="28"/>
        </w:rPr>
      </w:r>
      <w:r>
        <w:rPr>
          <w:rFonts w:ascii="Times New Roman" w:hAnsi="Times New Roman"/>
          <w:color w:val="ff0000"/>
          <w:sz w:val="28"/>
          <w:szCs w:val="28"/>
        </w:rPr>
      </w:r>
    </w:p>
    <w:p>
      <w:pPr>
        <w:ind w:firstLine="720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Рис. 5. </w:t>
      </w:r>
      <w:r>
        <w:rPr>
          <w:b/>
          <w:sz w:val="28"/>
          <w:szCs w:val="28"/>
        </w:rPr>
        <w:t xml:space="preserve">Доходы</w:t>
      </w:r>
      <w:r>
        <w:rPr>
          <w:b/>
          <w:sz w:val="28"/>
          <w:szCs w:val="28"/>
        </w:rPr>
        <w:t xml:space="preserve"> и расходы бюджета МО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Доходы и расходы бюджета за 5 лет представлены в таблице 45.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Бюджет муниципального образования в 2007 и 2010 годах являлся дефицитным, а в 2008, 2009 и 2011 годах – </w:t>
      </w:r>
      <w:r>
        <w:rPr>
          <w:sz w:val="28"/>
          <w:szCs w:val="28"/>
        </w:rPr>
        <w:t xml:space="preserve">профицитным</w:t>
      </w:r>
      <w:r>
        <w:rPr>
          <w:sz w:val="28"/>
          <w:szCs w:val="28"/>
        </w:rPr>
        <w:t xml:space="preserve">. Наблюдалось увеличение бюджета, определенного исходя из соотношений всех расходов и налоговых и неналоговых доходов, зачисляемых в бюджет муниципального образования.</w:t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</w:r>
      <w:r>
        <w:rPr>
          <w:i/>
          <w:sz w:val="28"/>
          <w:szCs w:val="28"/>
        </w:rPr>
        <w:t xml:space="preserve">Таблица 45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Доходы и расходы бюджета МО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20"/>
        <w:jc w:val="right"/>
        <w:rPr>
          <w:b/>
        </w:rPr>
      </w:pPr>
      <w:r>
        <w:rPr>
          <w:b/>
        </w:rPr>
        <w:t xml:space="preserve">(</w:t>
      </w:r>
      <w:r>
        <w:rPr>
          <w:b/>
        </w:rPr>
        <w:t xml:space="preserve">тыс.</w:t>
      </w:r>
      <w:r>
        <w:rPr>
          <w:b/>
        </w:rPr>
        <w:t xml:space="preserve"> руб.</w:t>
      </w:r>
      <w:r>
        <w:rPr>
          <w:b/>
        </w:rPr>
        <w:t xml:space="preserve">)</w:t>
      </w:r>
      <w:r>
        <w:rPr>
          <w:b/>
        </w:rPr>
      </w:r>
      <w:r>
        <w:rPr>
          <w:b/>
        </w:rPr>
      </w: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106"/>
        <w:gridCol w:w="874"/>
        <w:gridCol w:w="1080"/>
        <w:gridCol w:w="900"/>
        <w:gridCol w:w="1080"/>
        <w:gridCol w:w="900"/>
        <w:gridCol w:w="1080"/>
        <w:gridCol w:w="967"/>
        <w:gridCol w:w="967"/>
      </w:tblGrid>
      <w:tr>
        <w:tblPrEx/>
        <w:trPr>
          <w:cantSplit/>
          <w:trHeight w:val="540"/>
        </w:trPr>
        <w:tc>
          <w:tcPr>
            <w:tcW w:w="720" w:type="dxa"/>
            <w:vAlign w:val="center"/>
            <w:vMerge w:val="restart"/>
            <w:textDirection w:val="lrTb"/>
            <w:noWrap w:val="false"/>
          </w:tcPr>
          <w:p>
            <w:pPr>
              <w:ind w:left="-108" w:right="-28"/>
              <w:jc w:val="center"/>
              <w:rPr>
                <w:b/>
              </w:rPr>
            </w:pPr>
            <w:r>
              <w:rPr>
                <w:b/>
              </w:rPr>
              <w:t xml:space="preserve">Годы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W w:w="198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Итого доходов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4"/>
            <w:tcW w:w="396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в том числе: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W w:w="204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Расходы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96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Дефицит (-) профицит (+)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cantSplit/>
          <w:trHeight w:val="945"/>
        </w:trPr>
        <w:tc>
          <w:tcPr>
            <w:tcW w:w="72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W w:w="198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W w:w="198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Налоговые и неналоговые доходы, зачисляемые в бюджет МО в соответствии с действующим законодательством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W w:w="198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Безвозмездные и безвозвратные перечисления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W w:w="204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967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cantSplit/>
          <w:trHeight w:val="705"/>
        </w:trPr>
        <w:tc>
          <w:tcPr>
            <w:tcW w:w="72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10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Всего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7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Темп роста,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Всего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Темп роста,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Всего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90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Темп роста,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08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Всего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96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Темп роста,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96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Всего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72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2007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106" w:type="dxa"/>
            <w:textDirection w:val="lrTb"/>
            <w:noWrap w:val="false"/>
          </w:tcPr>
          <w:p>
            <w:pPr>
              <w:jc w:val="center"/>
            </w:pPr>
            <w:r>
              <w:t xml:space="preserve">440 791</w:t>
            </w:r>
            <w:r/>
          </w:p>
        </w:tc>
        <w:tc>
          <w:tcPr>
            <w:tcW w:w="874" w:type="dxa"/>
            <w:textDirection w:val="lrTb"/>
            <w:noWrap w:val="false"/>
          </w:tcPr>
          <w:p>
            <w:pPr>
              <w:jc w:val="center"/>
            </w:pPr>
            <w:r>
              <w:t xml:space="preserve">119,1</w:t>
            </w:r>
            <w:r/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</w:pPr>
            <w:r>
              <w:t xml:space="preserve">111 162</w:t>
            </w:r>
            <w:r/>
          </w:p>
        </w:tc>
        <w:tc>
          <w:tcPr>
            <w:tcW w:w="900" w:type="dxa"/>
            <w:textDirection w:val="lrTb"/>
            <w:noWrap w:val="false"/>
          </w:tcPr>
          <w:p>
            <w:pPr>
              <w:jc w:val="center"/>
            </w:pPr>
            <w:r>
              <w:t xml:space="preserve">127,1</w:t>
            </w:r>
            <w:r/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</w:pPr>
            <w:r>
              <w:t xml:space="preserve">329 629</w:t>
            </w:r>
            <w:r/>
          </w:p>
        </w:tc>
        <w:tc>
          <w:tcPr>
            <w:tcW w:w="900" w:type="dxa"/>
            <w:textDirection w:val="lrTb"/>
            <w:noWrap w:val="false"/>
          </w:tcPr>
          <w:p>
            <w:pPr>
              <w:jc w:val="center"/>
            </w:pPr>
            <w:r>
              <w:t xml:space="preserve">116,6</w:t>
            </w:r>
            <w:r/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</w:pPr>
            <w:r>
              <w:t xml:space="preserve">444 805</w:t>
            </w:r>
            <w:r/>
          </w:p>
        </w:tc>
        <w:tc>
          <w:tcPr>
            <w:tcW w:w="967" w:type="dxa"/>
            <w:textDirection w:val="lrTb"/>
            <w:noWrap w:val="false"/>
          </w:tcPr>
          <w:p>
            <w:pPr>
              <w:jc w:val="center"/>
            </w:pPr>
            <w:r>
              <w:t xml:space="preserve">121,0</w:t>
            </w:r>
            <w:r/>
          </w:p>
        </w:tc>
        <w:tc>
          <w:tcPr>
            <w:tcW w:w="967" w:type="dxa"/>
            <w:textDirection w:val="lrTb"/>
            <w:noWrap w:val="false"/>
          </w:tcPr>
          <w:p>
            <w:pPr>
              <w:jc w:val="center"/>
            </w:pPr>
            <w:r>
              <w:t xml:space="preserve">-4 014</w:t>
            </w:r>
            <w:r/>
          </w:p>
        </w:tc>
      </w:tr>
      <w:tr>
        <w:tblPrEx/>
        <w:trPr/>
        <w:tc>
          <w:tcPr>
            <w:tcW w:w="720" w:type="dxa"/>
            <w:textDirection w:val="lrTb"/>
            <w:noWrap w:val="false"/>
          </w:tcPr>
          <w:p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200</w:t>
            </w:r>
            <w:r>
              <w:rPr>
                <w:b/>
                <w:lang w:val="en-US"/>
              </w:rPr>
              <w:t xml:space="preserve">8</w:t>
            </w:r>
            <w:r>
              <w:rPr>
                <w:b/>
                <w:lang w:val="en-US"/>
              </w:rPr>
            </w:r>
            <w:r>
              <w:rPr>
                <w:b/>
                <w:lang w:val="en-US"/>
              </w:rPr>
            </w:r>
          </w:p>
        </w:tc>
        <w:tc>
          <w:tcPr>
            <w:tcW w:w="1106" w:type="dxa"/>
            <w:textDirection w:val="lrTb"/>
            <w:noWrap w:val="false"/>
          </w:tcPr>
          <w:p>
            <w:pPr>
              <w:jc w:val="center"/>
            </w:pPr>
            <w:r>
              <w:t xml:space="preserve">797215</w:t>
            </w:r>
            <w:r/>
          </w:p>
        </w:tc>
        <w:tc>
          <w:tcPr>
            <w:tcW w:w="874" w:type="dxa"/>
            <w:textDirection w:val="lrTb"/>
            <w:noWrap w:val="false"/>
          </w:tcPr>
          <w:p>
            <w:pPr>
              <w:jc w:val="center"/>
            </w:pPr>
            <w:r>
              <w:t xml:space="preserve">180,9</w:t>
            </w:r>
            <w:r/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</w:pPr>
            <w:r>
              <w:t xml:space="preserve">131476</w:t>
            </w:r>
            <w:r/>
          </w:p>
        </w:tc>
        <w:tc>
          <w:tcPr>
            <w:tcW w:w="900" w:type="dxa"/>
            <w:textDirection w:val="lrTb"/>
            <w:noWrap w:val="false"/>
          </w:tcPr>
          <w:p>
            <w:pPr>
              <w:jc w:val="center"/>
            </w:pPr>
            <w:r>
              <w:t xml:space="preserve">118,3</w:t>
            </w:r>
            <w:r/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</w:pPr>
            <w:r>
              <w:t xml:space="preserve">665739</w:t>
            </w:r>
            <w:r/>
          </w:p>
        </w:tc>
        <w:tc>
          <w:tcPr>
            <w:tcW w:w="900" w:type="dxa"/>
            <w:textDirection w:val="lrTb"/>
            <w:noWrap w:val="false"/>
          </w:tcPr>
          <w:p>
            <w:pPr>
              <w:jc w:val="center"/>
            </w:pPr>
            <w:r>
              <w:t xml:space="preserve">201,9</w:t>
            </w:r>
            <w:r/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</w:pPr>
            <w:r>
              <w:t xml:space="preserve">788105</w:t>
            </w:r>
            <w:r/>
          </w:p>
        </w:tc>
        <w:tc>
          <w:tcPr>
            <w:tcW w:w="967" w:type="dxa"/>
            <w:textDirection w:val="lrTb"/>
            <w:noWrap w:val="false"/>
          </w:tcPr>
          <w:p>
            <w:pPr>
              <w:jc w:val="center"/>
            </w:pPr>
            <w:r>
              <w:t xml:space="preserve">177,2</w:t>
            </w:r>
            <w:r/>
          </w:p>
        </w:tc>
        <w:tc>
          <w:tcPr>
            <w:tcW w:w="967" w:type="dxa"/>
            <w:textDirection w:val="lrTb"/>
            <w:noWrap w:val="false"/>
          </w:tcPr>
          <w:p>
            <w:pPr>
              <w:jc w:val="center"/>
            </w:pPr>
            <w:r>
              <w:t xml:space="preserve">9 110</w:t>
            </w:r>
            <w:r/>
          </w:p>
        </w:tc>
      </w:tr>
      <w:tr>
        <w:tblPrEx/>
        <w:trPr/>
        <w:tc>
          <w:tcPr>
            <w:tcW w:w="720" w:type="dxa"/>
            <w:textDirection w:val="lrTb"/>
            <w:noWrap w:val="false"/>
          </w:tcPr>
          <w:p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200</w:t>
            </w:r>
            <w:r>
              <w:rPr>
                <w:b/>
                <w:lang w:val="en-US"/>
              </w:rPr>
              <w:t xml:space="preserve">9</w:t>
            </w:r>
            <w:r>
              <w:rPr>
                <w:b/>
                <w:lang w:val="en-US"/>
              </w:rPr>
            </w:r>
            <w:r>
              <w:rPr>
                <w:b/>
                <w:lang w:val="en-US"/>
              </w:rPr>
            </w:r>
          </w:p>
        </w:tc>
        <w:tc>
          <w:tcPr>
            <w:tcW w:w="1106" w:type="dxa"/>
            <w:textDirection w:val="lrTb"/>
            <w:noWrap w:val="false"/>
          </w:tcPr>
          <w:p>
            <w:pPr>
              <w:jc w:val="center"/>
            </w:pPr>
            <w:r>
              <w:t xml:space="preserve">857544</w:t>
            </w:r>
            <w:r/>
          </w:p>
        </w:tc>
        <w:tc>
          <w:tcPr>
            <w:tcW w:w="874" w:type="dxa"/>
            <w:textDirection w:val="lrTb"/>
            <w:noWrap w:val="false"/>
          </w:tcPr>
          <w:p>
            <w:pPr>
              <w:jc w:val="center"/>
            </w:pPr>
            <w:r>
              <w:t xml:space="preserve">107,6</w:t>
            </w:r>
            <w:r/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</w:pPr>
            <w:r>
              <w:t xml:space="preserve">197319</w:t>
            </w:r>
            <w:r/>
          </w:p>
        </w:tc>
        <w:tc>
          <w:tcPr>
            <w:tcW w:w="900" w:type="dxa"/>
            <w:textDirection w:val="lrTb"/>
            <w:noWrap w:val="false"/>
          </w:tcPr>
          <w:p>
            <w:pPr>
              <w:jc w:val="center"/>
            </w:pPr>
            <w:r>
              <w:t xml:space="preserve">150,1</w:t>
            </w:r>
            <w:r/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</w:pPr>
            <w:r>
              <w:t xml:space="preserve">660225</w:t>
            </w:r>
            <w:r/>
          </w:p>
        </w:tc>
        <w:tc>
          <w:tcPr>
            <w:tcW w:w="900" w:type="dxa"/>
            <w:textDirection w:val="lrTb"/>
            <w:noWrap w:val="false"/>
          </w:tcPr>
          <w:p>
            <w:pPr>
              <w:jc w:val="center"/>
            </w:pPr>
            <w:r>
              <w:t xml:space="preserve">99,2</w:t>
            </w:r>
            <w:r/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</w:pPr>
            <w:r>
              <w:t xml:space="preserve">856954</w:t>
            </w:r>
            <w:r/>
          </w:p>
        </w:tc>
        <w:tc>
          <w:tcPr>
            <w:tcW w:w="967" w:type="dxa"/>
            <w:textDirection w:val="lrTb"/>
            <w:noWrap w:val="false"/>
          </w:tcPr>
          <w:p>
            <w:pPr>
              <w:jc w:val="center"/>
            </w:pPr>
            <w:r>
              <w:t xml:space="preserve">108,7</w:t>
            </w:r>
            <w:r/>
          </w:p>
        </w:tc>
        <w:tc>
          <w:tcPr>
            <w:tcW w:w="967" w:type="dxa"/>
            <w:textDirection w:val="lrTb"/>
            <w:noWrap w:val="false"/>
          </w:tcPr>
          <w:p>
            <w:pPr>
              <w:jc w:val="center"/>
            </w:pPr>
            <w:r>
              <w:t xml:space="preserve">590</w:t>
            </w:r>
            <w:r/>
          </w:p>
        </w:tc>
      </w:tr>
      <w:tr>
        <w:tblPrEx/>
        <w:trPr/>
        <w:tc>
          <w:tcPr>
            <w:tcW w:w="720" w:type="dxa"/>
            <w:textDirection w:val="lrTb"/>
            <w:noWrap w:val="false"/>
          </w:tcPr>
          <w:p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20</w:t>
            </w:r>
            <w:r>
              <w:rPr>
                <w:b/>
                <w:lang w:val="en-US"/>
              </w:rPr>
              <w:t xml:space="preserve">10</w:t>
            </w:r>
            <w:r>
              <w:rPr>
                <w:b/>
                <w:lang w:val="en-US"/>
              </w:rPr>
            </w:r>
            <w:r>
              <w:rPr>
                <w:b/>
                <w:lang w:val="en-US"/>
              </w:rPr>
            </w:r>
          </w:p>
        </w:tc>
        <w:tc>
          <w:tcPr>
            <w:tcW w:w="1106" w:type="dxa"/>
            <w:textDirection w:val="lrTb"/>
            <w:noWrap w:val="false"/>
          </w:tcPr>
          <w:p>
            <w:pPr>
              <w:jc w:val="center"/>
            </w:pPr>
            <w:r>
              <w:t xml:space="preserve">1040783</w:t>
            </w:r>
            <w:r/>
          </w:p>
        </w:tc>
        <w:tc>
          <w:tcPr>
            <w:tcW w:w="874" w:type="dxa"/>
            <w:textDirection w:val="lrTb"/>
            <w:noWrap w:val="false"/>
          </w:tcPr>
          <w:p>
            <w:pPr>
              <w:jc w:val="center"/>
            </w:pPr>
            <w:r>
              <w:t xml:space="preserve">121,4</w:t>
            </w:r>
            <w:r/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</w:pPr>
            <w:r>
              <w:t xml:space="preserve">213396</w:t>
            </w:r>
            <w:r/>
          </w:p>
        </w:tc>
        <w:tc>
          <w:tcPr>
            <w:tcW w:w="900" w:type="dxa"/>
            <w:textDirection w:val="lrTb"/>
            <w:noWrap w:val="false"/>
          </w:tcPr>
          <w:p>
            <w:pPr>
              <w:jc w:val="center"/>
            </w:pPr>
            <w:r>
              <w:t xml:space="preserve">108,1</w:t>
            </w:r>
            <w:r/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</w:pPr>
            <w:r>
              <w:t xml:space="preserve">827387</w:t>
            </w:r>
            <w:r/>
          </w:p>
        </w:tc>
        <w:tc>
          <w:tcPr>
            <w:tcW w:w="900" w:type="dxa"/>
            <w:textDirection w:val="lrTb"/>
            <w:noWrap w:val="false"/>
          </w:tcPr>
          <w:p>
            <w:pPr>
              <w:jc w:val="center"/>
            </w:pPr>
            <w:r>
              <w:t xml:space="preserve">125,3</w:t>
            </w:r>
            <w:r/>
          </w:p>
        </w:tc>
        <w:tc>
          <w:tcPr>
            <w:tcW w:w="1080" w:type="dxa"/>
            <w:textDirection w:val="lrTb"/>
            <w:noWrap w:val="false"/>
          </w:tcPr>
          <w:p>
            <w:pPr>
              <w:jc w:val="center"/>
            </w:pPr>
            <w:r>
              <w:t xml:space="preserve">1042457</w:t>
            </w:r>
            <w:r/>
          </w:p>
        </w:tc>
        <w:tc>
          <w:tcPr>
            <w:tcW w:w="967" w:type="dxa"/>
            <w:textDirection w:val="lrTb"/>
            <w:noWrap w:val="false"/>
          </w:tcPr>
          <w:p>
            <w:pPr>
              <w:jc w:val="center"/>
            </w:pPr>
            <w:r>
              <w:t xml:space="preserve">121,6</w:t>
            </w:r>
            <w:r/>
          </w:p>
        </w:tc>
        <w:tc>
          <w:tcPr>
            <w:tcW w:w="967" w:type="dxa"/>
            <w:textDirection w:val="lrTb"/>
            <w:noWrap w:val="false"/>
          </w:tcPr>
          <w:p>
            <w:pPr>
              <w:jc w:val="center"/>
            </w:pPr>
            <w:r>
              <w:t xml:space="preserve">-1 674</w:t>
            </w:r>
            <w:r/>
          </w:p>
        </w:tc>
      </w:tr>
      <w:tr>
        <w:tblPrEx/>
        <w:trPr/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72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2011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106" w:type="dxa"/>
            <w:textDirection w:val="lrTb"/>
            <w:noWrap w:val="false"/>
          </w:tcPr>
          <w:p>
            <w:pPr>
              <w:jc w:val="center"/>
            </w:pPr>
            <w:r>
              <w:t xml:space="preserve">1642749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874" w:type="dxa"/>
            <w:textDirection w:val="lrTb"/>
            <w:noWrap w:val="false"/>
          </w:tcPr>
          <w:p>
            <w:pPr>
              <w:jc w:val="center"/>
            </w:pPr>
            <w:r>
              <w:t xml:space="preserve">157,8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0" w:type="dxa"/>
            <w:textDirection w:val="lrTb"/>
            <w:noWrap w:val="false"/>
          </w:tcPr>
          <w:p>
            <w:pPr>
              <w:jc w:val="center"/>
            </w:pPr>
            <w:r>
              <w:t xml:space="preserve">241200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</w:pPr>
            <w:r>
              <w:t xml:space="preserve">113,0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0" w:type="dxa"/>
            <w:textDirection w:val="lrTb"/>
            <w:noWrap w:val="false"/>
          </w:tcPr>
          <w:p>
            <w:pPr>
              <w:jc w:val="center"/>
            </w:pPr>
            <w:r>
              <w:t xml:space="preserve">1263670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00" w:type="dxa"/>
            <w:textDirection w:val="lrTb"/>
            <w:noWrap w:val="false"/>
          </w:tcPr>
          <w:p>
            <w:pPr>
              <w:jc w:val="center"/>
            </w:pPr>
            <w:r>
              <w:t xml:space="preserve">152,7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80" w:type="dxa"/>
            <w:textDirection w:val="lrTb"/>
            <w:noWrap w:val="false"/>
          </w:tcPr>
          <w:p>
            <w:pPr>
              <w:jc w:val="center"/>
            </w:pPr>
            <w:r>
              <w:t xml:space="preserve">1470159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 w:val="false"/>
          </w:tcPr>
          <w:p>
            <w:pPr>
              <w:jc w:val="center"/>
            </w:pPr>
            <w:r>
              <w:t xml:space="preserve">141,0</w:t>
            </w:r>
            <w:r/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967" w:type="dxa"/>
            <w:textDirection w:val="lrTb"/>
            <w:noWrap w:val="false"/>
          </w:tcPr>
          <w:p>
            <w:pPr>
              <w:jc w:val="center"/>
            </w:pPr>
            <w:r>
              <w:t xml:space="preserve">34711</w:t>
            </w:r>
            <w:r/>
          </w:p>
        </w:tc>
      </w:tr>
    </w:tbl>
    <w:p>
      <w:pPr>
        <w:ind w:firstLine="72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Доходы бюджета с 2007 года по </w:t>
      </w:r>
      <w:r>
        <w:rPr>
          <w:sz w:val="28"/>
          <w:szCs w:val="28"/>
        </w:rPr>
        <w:t xml:space="preserve">2011 год увеличились в целом в                   </w:t>
      </w:r>
      <w:r>
        <w:rPr>
          <w:sz w:val="28"/>
          <w:szCs w:val="28"/>
        </w:rPr>
        <w:t xml:space="preserve"> 3,4 раза, при этом налоговые и неналоговые доходы, зачисляемые в бюджет муниципального образования, выросли в 2,2 раза, а сумма безвозмездных и безвозвратных перечислений в 3,8 раза. Доля финансовой помощи муниципальн</w:t>
      </w:r>
      <w:r>
        <w:rPr>
          <w:sz w:val="28"/>
          <w:szCs w:val="28"/>
        </w:rPr>
        <w:t xml:space="preserve">ому образованию, которая складывается из дотаций, субвенций и других безвозмездных перечислений из вышестоящих уровней бюджетов, имеет стойкую тенденцию к увеличению в общей сумме доходов муниципального образования. Если в 2007 году доля финансовой помощи </w:t>
      </w:r>
      <w:r>
        <w:rPr>
          <w:sz w:val="28"/>
          <w:szCs w:val="28"/>
        </w:rPr>
        <w:t xml:space="preserve">составила 74,8</w:t>
      </w:r>
      <w:r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 к общим доходам бюджета, то в 2011 году – 84,0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</w:t>
      </w:r>
      <w:r>
        <w:rPr>
          <w:sz w:val="28"/>
          <w:szCs w:val="28"/>
        </w:rPr>
        <w:t xml:space="preserve">начительный рост объема финансовой помощи из вышестоящих бюджетов обусловлен рядом таких причин, как проводимая политика реформирования межбюджетных отношений, перераспределение полномочий между уровнями бюджета, изменение пропорций распределения доходов.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  <w:t xml:space="preserve">Формирование доходов бюджета муниципального </w:t>
      </w:r>
      <w:r>
        <w:rPr>
          <w:sz w:val="28"/>
          <w:szCs w:val="28"/>
        </w:rPr>
        <w:t xml:space="preserve">образования </w:t>
      </w:r>
      <w:r>
        <w:rPr>
          <w:spacing w:val="4"/>
          <w:sz w:val="28"/>
          <w:szCs w:val="28"/>
        </w:rPr>
        <w:t xml:space="preserve"> </w:t>
      </w:r>
      <w:r>
        <w:rPr>
          <w:spacing w:val="4"/>
          <w:sz w:val="28"/>
          <w:szCs w:val="28"/>
        </w:rPr>
        <w:t xml:space="preserve">осуществлялось на основе положений Бюджетного кодекса Российской Федерации, Налогового кодекса Российской Федерации, а такж</w:t>
      </w:r>
      <w:r>
        <w:rPr>
          <w:spacing w:val="4"/>
          <w:sz w:val="28"/>
          <w:szCs w:val="28"/>
        </w:rPr>
        <w:t xml:space="preserve">е законов  Белгородской области, структуру доходов бюджета можно посмотреть  в таблице 46.</w:t>
      </w:r>
      <w:r>
        <w:rPr>
          <w:spacing w:val="4"/>
          <w:sz w:val="28"/>
          <w:szCs w:val="28"/>
        </w:rPr>
      </w:r>
      <w:r>
        <w:rPr>
          <w:spacing w:val="4"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структуре  налоговых доходов за весь анализируемый период основная доля приходится на налог на доходы физических лиц (в 2003 году доля данного</w:t>
      </w:r>
      <w:r>
        <w:rPr>
          <w:sz w:val="28"/>
          <w:szCs w:val="28"/>
        </w:rPr>
        <w:t xml:space="preserve">  налога составляла 54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процента</w:t>
      </w:r>
      <w:r>
        <w:rPr>
          <w:sz w:val="28"/>
          <w:szCs w:val="28"/>
        </w:rPr>
        <w:t xml:space="preserve">, к 2007 году она увеличилась до 64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процентов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составила 205 499 </w:t>
      </w:r>
      <w:r>
        <w:rPr>
          <w:sz w:val="28"/>
          <w:szCs w:val="28"/>
        </w:rPr>
        <w:t xml:space="preserve">тыс</w:t>
      </w:r>
      <w:r>
        <w:rPr>
          <w:sz w:val="28"/>
          <w:szCs w:val="28"/>
        </w:rPr>
        <w:t xml:space="preserve">яч рублей).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pacing w:val="4"/>
          <w:sz w:val="28"/>
          <w:szCs w:val="28"/>
        </w:rPr>
      </w:pPr>
      <w:r>
        <w:rPr>
          <w:spacing w:val="4"/>
          <w:sz w:val="28"/>
          <w:szCs w:val="28"/>
        </w:rPr>
      </w:r>
      <w:r>
        <w:rPr>
          <w:spacing w:val="4"/>
          <w:sz w:val="28"/>
          <w:szCs w:val="28"/>
        </w:rPr>
      </w:r>
      <w:r>
        <w:rPr>
          <w:spacing w:val="4"/>
          <w:sz w:val="28"/>
          <w:szCs w:val="28"/>
        </w:rPr>
      </w:r>
    </w:p>
    <w:p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</w:r>
      <w:r>
        <w:rPr>
          <w:b w:val="0"/>
          <w:i/>
          <w:sz w:val="28"/>
          <w:szCs w:val="28"/>
        </w:rPr>
        <w:t xml:space="preserve">Таблица 46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101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Структура налоговых и неналоговых доходов бюджета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1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муниципальном образовании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0184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2147"/>
        <w:gridCol w:w="895"/>
        <w:gridCol w:w="698"/>
        <w:gridCol w:w="895"/>
        <w:gridCol w:w="734"/>
        <w:gridCol w:w="877"/>
        <w:gridCol w:w="716"/>
        <w:gridCol w:w="877"/>
        <w:gridCol w:w="734"/>
        <w:gridCol w:w="877"/>
        <w:gridCol w:w="734"/>
      </w:tblGrid>
      <w:tr>
        <w:tblPrEx/>
        <w:trPr>
          <w:trHeight w:val="435"/>
          <w:tblHeader/>
        </w:trPr>
        <w:tc>
          <w:tcPr>
            <w:tcW w:w="2147" w:type="dxa"/>
            <w:vMerge w:val="restart"/>
            <w:textDirection w:val="lrTb"/>
            <w:noWrap w:val="false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both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ind w:left="-468"/>
              <w:jc w:val="both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W w:w="1593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2007 г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W w:w="1628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2008 г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W w:w="1593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2009 г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W w:w="161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2010 г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W w:w="161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2011 г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rHeight w:val="450"/>
          <w:tblHeader/>
        </w:trPr>
        <w:tc>
          <w:tcPr>
            <w:tcW w:w="2147" w:type="dxa"/>
            <w:vMerge w:val="continue"/>
            <w:textDirection w:val="lrTb"/>
            <w:noWrap w:val="false"/>
          </w:tcPr>
          <w:p>
            <w:pPr>
              <w:jc w:val="both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9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тыс.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руб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698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удел. вес,</w:t>
            </w:r>
            <w:r>
              <w:rPr>
                <w:b/>
                <w:sz w:val="22"/>
                <w:szCs w:val="22"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9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тыс.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руб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34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удел. вес,</w:t>
            </w:r>
            <w:r>
              <w:rPr>
                <w:b/>
                <w:sz w:val="22"/>
                <w:szCs w:val="22"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77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тыс.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руб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16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удел. вес,</w:t>
            </w:r>
            <w:r>
              <w:rPr>
                <w:b/>
                <w:sz w:val="22"/>
                <w:szCs w:val="22"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77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тыс.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руб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34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удел. вес,</w:t>
            </w:r>
            <w:r>
              <w:rPr>
                <w:b/>
                <w:sz w:val="22"/>
                <w:szCs w:val="22"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77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тыс.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руб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34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удел. вес,</w:t>
            </w:r>
            <w:r>
              <w:rPr>
                <w:b/>
                <w:sz w:val="22"/>
                <w:szCs w:val="22"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cantSplit/>
          <w:trHeight w:val="954"/>
        </w:trPr>
        <w:tc>
          <w:tcPr>
            <w:tcW w:w="2147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Всего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111162</w:t>
            </w:r>
            <w:r/>
          </w:p>
        </w:tc>
        <w:tc>
          <w:tcPr>
            <w:tcW w:w="69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100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131476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100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197319</w:t>
            </w:r>
            <w:r/>
          </w:p>
        </w:tc>
        <w:tc>
          <w:tcPr>
            <w:tcW w:w="7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100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213396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100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241200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100</w:t>
            </w:r>
            <w:r/>
          </w:p>
        </w:tc>
      </w:tr>
      <w:tr>
        <w:tblPrEx/>
        <w:trPr>
          <w:cantSplit/>
          <w:trHeight w:val="333"/>
        </w:trPr>
        <w:tc>
          <w:tcPr>
            <w:tcW w:w="2147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в том числе: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69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716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>
          <w:cantSplit/>
          <w:trHeight w:val="884"/>
        </w:trPr>
        <w:tc>
          <w:tcPr>
            <w:tcW w:w="2147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Налог на доходы физических лиц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64128</w:t>
            </w:r>
            <w:r/>
          </w:p>
        </w:tc>
        <w:tc>
          <w:tcPr>
            <w:tcW w:w="69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57,7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78698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59,9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132361</w:t>
            </w:r>
            <w:r/>
          </w:p>
        </w:tc>
        <w:tc>
          <w:tcPr>
            <w:tcW w:w="7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67,1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134217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62,9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160321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66,5</w:t>
            </w:r>
            <w:r/>
          </w:p>
        </w:tc>
      </w:tr>
      <w:tr>
        <w:tblPrEx/>
        <w:trPr>
          <w:cantSplit/>
          <w:trHeight w:val="902"/>
        </w:trPr>
        <w:tc>
          <w:tcPr>
            <w:tcW w:w="2147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Налог на прибыль предприятий, организаций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-40</w:t>
            </w:r>
            <w:r/>
          </w:p>
        </w:tc>
        <w:tc>
          <w:tcPr>
            <w:tcW w:w="69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7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-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</w:tr>
      <w:tr>
        <w:tblPrEx/>
        <w:trPr>
          <w:cantSplit/>
          <w:trHeight w:val="533"/>
        </w:trPr>
        <w:tc>
          <w:tcPr>
            <w:tcW w:w="2147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Налог с продаж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-6</w:t>
            </w:r>
            <w:r/>
          </w:p>
        </w:tc>
        <w:tc>
          <w:tcPr>
            <w:tcW w:w="69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-1</w:t>
            </w:r>
            <w:r/>
          </w:p>
        </w:tc>
        <w:tc>
          <w:tcPr>
            <w:tcW w:w="7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-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11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</w:tr>
      <w:tr>
        <w:tblPrEx/>
        <w:trPr>
          <w:cantSplit/>
          <w:trHeight w:val="566"/>
        </w:trPr>
        <w:tc>
          <w:tcPr>
            <w:tcW w:w="2147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Единый налог на вмененный доход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7914</w:t>
            </w:r>
            <w:r/>
          </w:p>
        </w:tc>
        <w:tc>
          <w:tcPr>
            <w:tcW w:w="69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7,1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9151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7,0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9278</w:t>
            </w:r>
            <w:r/>
          </w:p>
        </w:tc>
        <w:tc>
          <w:tcPr>
            <w:tcW w:w="7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4,7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10845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5,1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12515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5,9</w:t>
            </w:r>
            <w:r/>
          </w:p>
        </w:tc>
      </w:tr>
      <w:tr>
        <w:tblPrEx/>
        <w:trPr>
          <w:cantSplit/>
          <w:trHeight w:val="751"/>
        </w:trPr>
        <w:tc>
          <w:tcPr>
            <w:tcW w:w="2147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Единый сельскохозяйственный налог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386</w:t>
            </w:r>
            <w:r/>
          </w:p>
        </w:tc>
        <w:tc>
          <w:tcPr>
            <w:tcW w:w="69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0,3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2230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1,7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1788</w:t>
            </w:r>
            <w:r/>
          </w:p>
        </w:tc>
        <w:tc>
          <w:tcPr>
            <w:tcW w:w="7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0,9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2491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1,1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1721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0,7</w:t>
            </w:r>
            <w:r/>
          </w:p>
        </w:tc>
      </w:tr>
      <w:tr>
        <w:tblPrEx/>
        <w:trPr>
          <w:cantSplit/>
          <w:trHeight w:val="579"/>
        </w:trPr>
        <w:tc>
          <w:tcPr>
            <w:tcW w:w="2147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Налог на имущество физических лиц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1648</w:t>
            </w:r>
            <w:r/>
          </w:p>
        </w:tc>
        <w:tc>
          <w:tcPr>
            <w:tcW w:w="69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1,5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2273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1,7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2576</w:t>
            </w:r>
            <w:r/>
          </w:p>
        </w:tc>
        <w:tc>
          <w:tcPr>
            <w:tcW w:w="7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1,3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2833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1,3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443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0,2</w:t>
            </w:r>
            <w:r/>
          </w:p>
        </w:tc>
      </w:tr>
      <w:tr>
        <w:tblPrEx/>
        <w:trPr>
          <w:cantSplit/>
          <w:trHeight w:val="545"/>
        </w:trPr>
        <w:tc>
          <w:tcPr>
            <w:tcW w:w="2147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Налог на имущество предприятий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29</w:t>
            </w:r>
            <w:r/>
          </w:p>
        </w:tc>
        <w:tc>
          <w:tcPr>
            <w:tcW w:w="69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0,1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28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0,1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-2</w:t>
            </w:r>
            <w:r/>
          </w:p>
        </w:tc>
        <w:tc>
          <w:tcPr>
            <w:tcW w:w="7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</w:tr>
      <w:tr>
        <w:tblPrEx/>
        <w:trPr>
          <w:cantSplit/>
          <w:trHeight w:val="716"/>
        </w:trPr>
        <w:tc>
          <w:tcPr>
            <w:tcW w:w="2147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Платежи за пользование природными ресурсами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990</w:t>
            </w:r>
            <w:r/>
          </w:p>
        </w:tc>
        <w:tc>
          <w:tcPr>
            <w:tcW w:w="69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0,9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181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0,1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355</w:t>
            </w:r>
            <w:r/>
          </w:p>
        </w:tc>
        <w:tc>
          <w:tcPr>
            <w:tcW w:w="7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0,2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577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0,3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461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0,2</w:t>
            </w:r>
            <w:r/>
          </w:p>
        </w:tc>
      </w:tr>
      <w:tr>
        <w:tblPrEx/>
        <w:trPr>
          <w:cantSplit/>
          <w:trHeight w:val="530"/>
        </w:trPr>
        <w:tc>
          <w:tcPr>
            <w:tcW w:w="2147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Государственная пошлина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448</w:t>
            </w:r>
            <w:r/>
          </w:p>
        </w:tc>
        <w:tc>
          <w:tcPr>
            <w:tcW w:w="69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0,4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1352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1,0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1717</w:t>
            </w:r>
            <w:r/>
          </w:p>
        </w:tc>
        <w:tc>
          <w:tcPr>
            <w:tcW w:w="7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0,9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4248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2,0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3673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1,5</w:t>
            </w:r>
            <w:r/>
          </w:p>
        </w:tc>
      </w:tr>
      <w:tr>
        <w:tblPrEx/>
        <w:trPr>
          <w:cantSplit/>
          <w:trHeight w:val="585"/>
        </w:trPr>
        <w:tc>
          <w:tcPr>
            <w:tcW w:w="2147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Земельный налог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20803</w:t>
            </w:r>
            <w:r/>
          </w:p>
        </w:tc>
        <w:tc>
          <w:tcPr>
            <w:tcW w:w="69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18,7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10830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8,2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13283</w:t>
            </w:r>
            <w:r/>
          </w:p>
        </w:tc>
        <w:tc>
          <w:tcPr>
            <w:tcW w:w="7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6,7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16354</w: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7,7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13655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5,7</w:t>
            </w:r>
            <w:r/>
          </w:p>
        </w:tc>
      </w:tr>
      <w:tr>
        <w:tblPrEx/>
        <w:trPr>
          <w:cantSplit/>
          <w:trHeight w:val="716"/>
        </w:trPr>
        <w:tc>
          <w:tcPr>
            <w:tcW w:w="2147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Доходы от выдачи патентов на осуществление предпринимательской деятельности при применении упрощенной системы налогообложения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69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7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65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0,03</w:t>
            </w:r>
            <w:r/>
          </w:p>
        </w:tc>
      </w:tr>
      <w:tr>
        <w:tblPrEx/>
        <w:trPr>
          <w:cantSplit/>
          <w:trHeight w:val="716"/>
        </w:trPr>
        <w:tc>
          <w:tcPr>
            <w:tcW w:w="2147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Прочие налоговые и неналоговые доходы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5909</w:t>
            </w:r>
            <w:r/>
          </w:p>
        </w:tc>
        <w:tc>
          <w:tcPr>
            <w:tcW w:w="69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5,3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16355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12,4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21338</w:t>
            </w:r>
            <w:r/>
          </w:p>
        </w:tc>
        <w:tc>
          <w:tcPr>
            <w:tcW w:w="7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10,8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27334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12,8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32631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13,5</w:t>
            </w:r>
            <w:r/>
          </w:p>
        </w:tc>
      </w:tr>
      <w:tr>
        <w:tblPrEx/>
        <w:trPr>
          <w:cantSplit/>
          <w:trHeight w:val="1134"/>
        </w:trPr>
        <w:tc>
          <w:tcPr>
            <w:tcW w:w="2147" w:type="dxa"/>
            <w:textDirection w:val="lrTb"/>
            <w:noWrap w:val="false"/>
          </w:tcPr>
          <w:p>
            <w:pPr>
              <w:jc w:val="both"/>
            </w:pPr>
            <w:r>
              <w:rPr>
                <w:sz w:val="22"/>
                <w:szCs w:val="22"/>
              </w:rPr>
              <w:t xml:space="preserve">Доходы от предпринимательской и иной приносящей доход деятельности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8953</w:t>
            </w:r>
            <w:r/>
          </w:p>
        </w:tc>
        <w:tc>
          <w:tcPr>
            <w:tcW w:w="69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8,0</w:t>
            </w:r>
            <w:r/>
          </w:p>
        </w:tc>
        <w:tc>
          <w:tcPr>
            <w:tcW w:w="89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10372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7,9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14626</w:t>
            </w:r>
            <w:r/>
          </w:p>
        </w:tc>
        <w:tc>
          <w:tcPr>
            <w:tcW w:w="71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7,4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14487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6,8</w:t>
            </w:r>
            <w:r/>
          </w:p>
        </w:tc>
        <w:tc>
          <w:tcPr>
            <w:tcW w:w="87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15704</w:t>
            </w:r>
            <w:r/>
          </w:p>
        </w:tc>
        <w:tc>
          <w:tcPr>
            <w:tcW w:w="7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  <w:szCs w:val="22"/>
              </w:rPr>
              <w:t xml:space="preserve">6,5</w:t>
            </w:r>
            <w:r/>
          </w:p>
        </w:tc>
      </w:tr>
    </w:tbl>
    <w:p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041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видно из таблицы, основными налогами, формирующими местный бюджет в 2011 году, были  налог на доходы физических лиц (66,5%), доходы от предпринимател</w:t>
      </w:r>
      <w:r>
        <w:rPr>
          <w:rFonts w:ascii="Times New Roman" w:hAnsi="Times New Roman"/>
          <w:sz w:val="28"/>
          <w:szCs w:val="28"/>
        </w:rPr>
        <w:t xml:space="preserve">ьской деятельности (6,5%), единый налог на вмененный доход (5,9%), земельный налог  (5,7%), прочие налоговые и неналоговые поступления (13,5%). Доля остальных  доходных источников незначительна. За счет собственных доходных источников выполняется лишь 16,4</w:t>
      </w:r>
      <w:r>
        <w:rPr>
          <w:rFonts w:ascii="Times New Roman" w:hAnsi="Times New Roman"/>
          <w:sz w:val="28"/>
          <w:szCs w:val="28"/>
        </w:rPr>
        <w:t xml:space="preserve">%</w:t>
      </w:r>
      <w:r>
        <w:rPr>
          <w:rFonts w:ascii="Times New Roman" w:hAnsi="Times New Roman"/>
          <w:sz w:val="28"/>
          <w:szCs w:val="28"/>
        </w:rPr>
        <w:t xml:space="preserve"> расходных обязательств муниципального образования.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firstLine="72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47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Отраслевая структура расходов бюджета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муниципальном образовании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10141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792"/>
        <w:gridCol w:w="792"/>
        <w:gridCol w:w="792"/>
        <w:gridCol w:w="792"/>
        <w:gridCol w:w="792"/>
        <w:gridCol w:w="792"/>
        <w:gridCol w:w="961"/>
        <w:gridCol w:w="792"/>
        <w:gridCol w:w="1044"/>
        <w:gridCol w:w="792"/>
      </w:tblGrid>
      <w:tr>
        <w:tblPrEx/>
        <w:trPr>
          <w:cantSplit/>
          <w:trHeight w:val="364"/>
          <w:tblHeader/>
        </w:trPr>
        <w:tc>
          <w:tcPr>
            <w:tcW w:w="1800" w:type="dxa"/>
            <w:vMerge w:val="restart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Статьи расходов бюджета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W w:w="1584" w:type="dxa"/>
            <w:textDirection w:val="lrTb"/>
            <w:noWrap w:val="false"/>
          </w:tcPr>
          <w:p>
            <w:pPr>
              <w:rPr>
                <w:b/>
              </w:rPr>
            </w:pPr>
            <w:r>
              <w:rPr>
                <w:b/>
              </w:rPr>
              <w:t xml:space="preserve">2007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W w:w="1584" w:type="dxa"/>
            <w:textDirection w:val="lrTb"/>
            <w:noWrap w:val="false"/>
          </w:tcPr>
          <w:p>
            <w:pPr>
              <w:rPr>
                <w:b/>
              </w:rPr>
            </w:pPr>
            <w:r>
              <w:rPr>
                <w:b/>
              </w:rPr>
              <w:t xml:space="preserve">2008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W w:w="1584" w:type="dxa"/>
            <w:textDirection w:val="lrTb"/>
            <w:noWrap w:val="false"/>
          </w:tcPr>
          <w:p>
            <w:pPr>
              <w:rPr>
                <w:b/>
              </w:rPr>
            </w:pPr>
            <w:r>
              <w:rPr>
                <w:b/>
              </w:rPr>
              <w:t xml:space="preserve">2009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W w:w="1753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2010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gridSpan w:val="2"/>
            <w:tcW w:w="1836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2011 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cantSplit/>
          <w:trHeight w:val="459"/>
          <w:tblHeader/>
        </w:trPr>
        <w:tc>
          <w:tcPr>
            <w:tcW w:w="1800" w:type="dxa"/>
            <w:vMerge w:val="continue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92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тыс.</w:t>
            </w:r>
            <w:r>
              <w:rPr>
                <w:b/>
              </w:rPr>
              <w:t xml:space="preserve"> руб.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92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Уд. вес,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92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тыс.</w:t>
            </w:r>
            <w:r>
              <w:rPr>
                <w:b/>
              </w:rPr>
              <w:t xml:space="preserve"> руб.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92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Уд. вес,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92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тыс.</w:t>
            </w:r>
            <w:r>
              <w:rPr>
                <w:b/>
              </w:rPr>
              <w:t xml:space="preserve"> руб.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92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Уд. вес,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961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тыс.</w:t>
            </w:r>
            <w:r>
              <w:rPr>
                <w:b/>
              </w:rPr>
              <w:t xml:space="preserve"> руб.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92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Уд. вес,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044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тыс.</w:t>
            </w:r>
            <w:r>
              <w:rPr>
                <w:b/>
              </w:rPr>
              <w:t xml:space="preserve"> руб.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92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Уд. вес,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1800" w:type="dxa"/>
            <w:textDirection w:val="lrTb"/>
            <w:noWrap w:val="false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Бюджет – всего</w:t>
            </w: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444805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100,0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788105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100,0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856954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100,0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9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1042457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100,0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1470159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100,0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</w:tr>
      <w:tr>
        <w:tblPrEx/>
        <w:trPr/>
        <w:tc>
          <w:tcPr>
            <w:tcW w:w="1800" w:type="dxa"/>
            <w:textDirection w:val="lrTb"/>
            <w:noWrap w:val="false"/>
          </w:tcPr>
          <w:p>
            <w:pPr>
              <w:ind w:right="-15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Здравоохране</w:t>
            </w:r>
            <w:r>
              <w:rPr>
                <w:sz w:val="26"/>
                <w:szCs w:val="26"/>
              </w:rPr>
              <w:t xml:space="preserve">-</w:t>
            </w:r>
            <w:r>
              <w:rPr>
                <w:sz w:val="26"/>
                <w:szCs w:val="26"/>
              </w:rPr>
              <w:t xml:space="preserve">ние</w:t>
            </w:r>
            <w:r>
              <w:rPr>
                <w:sz w:val="26"/>
                <w:szCs w:val="26"/>
              </w:rPr>
              <w:t xml:space="preserve"> и спорт </w:t>
            </w: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40525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9,1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122759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15,6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180772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21,1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9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166509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16,0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170539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11,6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</w:tr>
      <w:tr>
        <w:tblPrEx/>
        <w:trPr/>
        <w:tc>
          <w:tcPr>
            <w:tcW w:w="1800" w:type="dxa"/>
            <w:textDirection w:val="lrTb"/>
            <w:noWrap w:val="false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Образование </w:t>
            </w: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165230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37,1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237100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30,1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298697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34,9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9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324343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31,4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450065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30,6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</w:tr>
      <w:tr>
        <w:tblPrEx/>
        <w:trPr/>
        <w:tc>
          <w:tcPr>
            <w:tcW w:w="1800" w:type="dxa"/>
            <w:textDirection w:val="lrTb"/>
            <w:noWrap w:val="false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Культура, </w:t>
            </w:r>
            <w:r>
              <w:rPr>
                <w:sz w:val="26"/>
                <w:szCs w:val="26"/>
              </w:rPr>
              <w:t xml:space="preserve">кинематогра</w:t>
            </w:r>
            <w:r>
              <w:rPr>
                <w:sz w:val="26"/>
                <w:szCs w:val="26"/>
              </w:rPr>
              <w:t xml:space="preserve">-</w:t>
            </w:r>
            <w:r>
              <w:rPr>
                <w:sz w:val="26"/>
                <w:szCs w:val="26"/>
              </w:rPr>
              <w:t xml:space="preserve">фия</w:t>
            </w: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31036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6,9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56160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7,1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80543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9,4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9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87789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8,4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8262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0,6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</w:tr>
      <w:tr>
        <w:tblPrEx/>
        <w:trPr/>
        <w:tc>
          <w:tcPr>
            <w:tcW w:w="1800" w:type="dxa"/>
            <w:textDirection w:val="lrTb"/>
            <w:noWrap w:val="false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Правоохрани</w:t>
            </w:r>
            <w:r>
              <w:rPr>
                <w:sz w:val="26"/>
                <w:szCs w:val="26"/>
              </w:rPr>
              <w:t xml:space="preserve">-</w:t>
            </w:r>
            <w:r>
              <w:rPr>
                <w:sz w:val="26"/>
                <w:szCs w:val="26"/>
              </w:rPr>
              <w:t xml:space="preserve">тельная деятельность и национальная безопасность</w:t>
            </w: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2055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0,5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3607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0,5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4338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0,5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9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5271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0,5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5134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0,3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</w:tr>
      <w:tr>
        <w:tblPrEx/>
        <w:trPr/>
        <w:tc>
          <w:tcPr>
            <w:tcW w:w="1800" w:type="dxa"/>
            <w:textDirection w:val="lrTb"/>
            <w:noWrap w:val="false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Сельское хозяйство</w:t>
            </w: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4340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1,0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8400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1,0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8821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1,0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9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14557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1,4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17855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1,5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</w:tr>
      <w:tr>
        <w:tblPrEx/>
        <w:trPr/>
        <w:tc>
          <w:tcPr>
            <w:tcW w:w="1800" w:type="dxa"/>
            <w:textDirection w:val="lrTb"/>
            <w:noWrap w:val="false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ЖКХ</w:t>
            </w: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36774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8,3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110042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14,0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75011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8,8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9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104238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10,0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291085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19,8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</w:tr>
      <w:tr>
        <w:tblPrEx/>
        <w:trPr/>
        <w:tc>
          <w:tcPr>
            <w:tcW w:w="1800" w:type="dxa"/>
            <w:textDirection w:val="lrTb"/>
            <w:noWrap w:val="false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Транспорт</w:t>
            </w: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51890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11,7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461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0,1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11995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1,4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9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205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0,0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5424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0,4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</w:tr>
      <w:tr>
        <w:tblPrEx/>
        <w:trPr/>
        <w:tc>
          <w:tcPr>
            <w:tcW w:w="1800" w:type="dxa"/>
            <w:textDirection w:val="lrTb"/>
            <w:noWrap w:val="false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</w:t>
            </w:r>
            <w:r>
              <w:rPr>
                <w:sz w:val="26"/>
                <w:szCs w:val="26"/>
              </w:rPr>
              <w:t xml:space="preserve">-</w:t>
            </w:r>
            <w:r>
              <w:rPr>
                <w:sz w:val="26"/>
                <w:szCs w:val="26"/>
              </w:rPr>
              <w:t xml:space="preserve">ное</w:t>
            </w:r>
            <w:r>
              <w:rPr>
                <w:sz w:val="26"/>
                <w:szCs w:val="26"/>
              </w:rPr>
              <w:t xml:space="preserve"> управление</w:t>
            </w: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42063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9,5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81317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10,3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77997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9,1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9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87883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8,4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117633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8,0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</w:tr>
      <w:tr>
        <w:tblPrEx/>
        <w:trPr/>
        <w:tc>
          <w:tcPr>
            <w:tcW w:w="1800" w:type="dxa"/>
            <w:textDirection w:val="lrTb"/>
            <w:noWrap w:val="false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Соцполитика</w:t>
            </w: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67146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15,1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94623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12,0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104022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12,1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9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194586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18,7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142326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9,7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</w:tr>
      <w:tr>
        <w:tblPrEx/>
        <w:trPr/>
        <w:tc>
          <w:tcPr>
            <w:tcW w:w="1800" w:type="dxa"/>
            <w:textDirection w:val="lrTb"/>
            <w:noWrap w:val="false"/>
          </w:tcPr>
          <w:p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Прочие расходы</w:t>
            </w:r>
            <w:r>
              <w:rPr>
                <w:sz w:val="26"/>
                <w:szCs w:val="26"/>
              </w:rPr>
            </w:r>
            <w:r>
              <w:rPr>
                <w:sz w:val="26"/>
                <w:szCs w:val="26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3746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0,8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73636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9,3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14758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1,7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961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57076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5,5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104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261836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  <w:tc>
          <w:tcPr>
            <w:tcW w:w="79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17,8</w:t>
            </w:r>
            <w:r>
              <w:rPr>
                <w:sz w:val="19"/>
                <w:szCs w:val="19"/>
              </w:rPr>
            </w:r>
            <w:r>
              <w:rPr>
                <w:sz w:val="19"/>
                <w:szCs w:val="19"/>
              </w:rPr>
            </w:r>
          </w:p>
        </w:tc>
      </w:tr>
    </w:tbl>
    <w:p>
      <w:pPr>
        <w:ind w:firstLine="720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pStyle w:val="1041"/>
        <w:spacing w:after="0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Расходы бюджета муниципального образования за период с 2007 по            2011 год ежегодно увеличивались и в отчетном 2011 году </w:t>
      </w:r>
      <w:r>
        <w:rPr>
          <w:rFonts w:ascii="Times New Roman" w:hAnsi="Times New Roman"/>
          <w:spacing w:val="20"/>
          <w:sz w:val="28"/>
          <w:szCs w:val="28"/>
        </w:rPr>
        <w:t xml:space="preserve">составили 1470159</w:t>
      </w:r>
      <w:r>
        <w:rPr>
          <w:rFonts w:ascii="Times New Roman" w:hAnsi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тыс</w:t>
      </w:r>
      <w:r>
        <w:rPr>
          <w:rFonts w:ascii="Times New Roman" w:hAnsi="Times New Roman"/>
          <w:sz w:val="28"/>
          <w:szCs w:val="28"/>
        </w:rPr>
        <w:t xml:space="preserve">яч рублей или увеличились в </w:t>
      </w:r>
      <w:r>
        <w:rPr>
          <w:rFonts w:ascii="Times New Roman" w:hAnsi="Times New Roman"/>
          <w:sz w:val="28"/>
          <w:szCs w:val="28"/>
        </w:rPr>
        <w:t xml:space="preserve">3,3</w:t>
      </w:r>
      <w:r>
        <w:rPr>
          <w:rFonts w:ascii="Times New Roman" w:hAnsi="Times New Roman"/>
          <w:sz w:val="28"/>
          <w:szCs w:val="28"/>
        </w:rPr>
        <w:t xml:space="preserve"> раза по  сравнению  с</w:t>
      </w:r>
      <w:r>
        <w:rPr>
          <w:rFonts w:ascii="Times New Roman" w:hAnsi="Times New Roman"/>
          <w:sz w:val="28"/>
          <w:szCs w:val="28"/>
        </w:rPr>
        <w:t xml:space="preserve"> 2007</w:t>
      </w:r>
      <w:r>
        <w:rPr>
          <w:rFonts w:ascii="Times New Roman" w:hAnsi="Times New Roman"/>
          <w:sz w:val="28"/>
          <w:szCs w:val="28"/>
        </w:rPr>
        <w:t xml:space="preserve"> годом</w:t>
      </w:r>
      <w:r>
        <w:rPr>
          <w:rFonts w:ascii="Times New Roman" w:hAnsi="Times New Roman"/>
          <w:sz w:val="28"/>
          <w:szCs w:val="28"/>
        </w:rPr>
        <w:t xml:space="preserve">. Основными расходным</w:t>
      </w:r>
      <w:r>
        <w:rPr>
          <w:rFonts w:ascii="Times New Roman" w:hAnsi="Times New Roman"/>
          <w:sz w:val="28"/>
          <w:szCs w:val="28"/>
        </w:rPr>
        <w:t xml:space="preserve">и статьями бюджета на протяжении ряда лет остается финансирование развития социально-культурной сферы (образование, культура, здравоохранение и социальная политика).  В 2007 году удельный вес этих расходов в бюджете муниципального образования составил 68,3</w:t>
      </w:r>
      <w:r>
        <w:rPr>
          <w:rFonts w:ascii="Times New Roman" w:hAnsi="Times New Roman"/>
          <w:sz w:val="28"/>
          <w:szCs w:val="28"/>
        </w:rPr>
        <w:t xml:space="preserve">%</w:t>
      </w:r>
      <w:r>
        <w:rPr>
          <w:rFonts w:ascii="Times New Roman" w:hAnsi="Times New Roman"/>
          <w:sz w:val="28"/>
          <w:szCs w:val="28"/>
        </w:rPr>
        <w:t xml:space="preserve">, в 2011 году – 52,5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процента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color w:val="ff0000"/>
          <w:sz w:val="28"/>
          <w:szCs w:val="28"/>
        </w:rPr>
      </w:r>
      <w:r>
        <w:rPr>
          <w:rFonts w:ascii="Times New Roman" w:hAnsi="Times New Roman"/>
          <w:color w:val="ff0000"/>
          <w:sz w:val="28"/>
          <w:szCs w:val="28"/>
        </w:rPr>
      </w:r>
    </w:p>
    <w:p>
      <w:pPr>
        <w:ind w:firstLine="720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48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Расходы бюджета в МО </w:t>
      </w:r>
      <w:r>
        <w:rPr>
          <w:b/>
          <w:sz w:val="28"/>
          <w:szCs w:val="28"/>
        </w:rPr>
        <w:t xml:space="preserve">в расчете на душу населения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8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886"/>
        <w:gridCol w:w="939"/>
        <w:gridCol w:w="1045"/>
        <w:gridCol w:w="1010"/>
        <w:gridCol w:w="992"/>
        <w:gridCol w:w="1489"/>
      </w:tblGrid>
      <w:tr>
        <w:tblPrEx/>
        <w:trPr>
          <w:tblHeader/>
        </w:trPr>
        <w:tc>
          <w:tcPr>
            <w:tcW w:w="3528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Показатели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886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2007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939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2008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2009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2010 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2011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год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489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Темп роста 2011 к 2007,</w:t>
            </w:r>
            <w:r>
              <w:rPr>
                <w:b/>
              </w:rPr>
              <w:t xml:space="preserve">%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3528" w:type="dxa"/>
            <w:textDirection w:val="lrTb"/>
            <w:noWrap w:val="false"/>
          </w:tcPr>
          <w:p>
            <w:r>
              <w:t xml:space="preserve">Расходы бюджета (</w:t>
            </w:r>
            <w:r>
              <w:t xml:space="preserve">тыс.</w:t>
            </w:r>
            <w:r>
              <w:t xml:space="preserve"> руб.</w:t>
            </w:r>
            <w:r>
              <w:t xml:space="preserve">)</w:t>
            </w:r>
            <w:r/>
          </w:p>
        </w:tc>
        <w:tc>
          <w:tcPr>
            <w:tcW w:w="886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444805</w:t>
            </w:r>
            <w:r/>
          </w:p>
        </w:tc>
        <w:tc>
          <w:tcPr>
            <w:tcW w:w="939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788105</w:t>
            </w:r>
            <w:r/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856954</w:t>
            </w:r>
            <w:r/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1042457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1470159</w:t>
            </w:r>
            <w:r/>
          </w:p>
        </w:tc>
        <w:tc>
          <w:tcPr>
            <w:tcW w:w="1489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в 3,3 раза</w:t>
            </w:r>
            <w:r/>
          </w:p>
        </w:tc>
      </w:tr>
      <w:tr>
        <w:tblPrEx/>
        <w:trPr/>
        <w:tc>
          <w:tcPr>
            <w:tcW w:w="3528" w:type="dxa"/>
            <w:textDirection w:val="lrTb"/>
            <w:noWrap w:val="false"/>
          </w:tcPr>
          <w:p>
            <w:r>
              <w:t xml:space="preserve">Среднегодовая численность населения (</w:t>
            </w:r>
            <w:r>
              <w:t xml:space="preserve">тыс.</w:t>
            </w:r>
            <w:r>
              <w:t xml:space="preserve"> чел.)</w:t>
            </w:r>
            <w:r/>
          </w:p>
        </w:tc>
        <w:tc>
          <w:tcPr>
            <w:tcW w:w="886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32,5</w:t>
            </w:r>
            <w:r/>
          </w:p>
        </w:tc>
        <w:tc>
          <w:tcPr>
            <w:tcW w:w="939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32,6</w:t>
            </w:r>
            <w:r/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32,6</w:t>
            </w:r>
            <w:r/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32,4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32,4</w:t>
            </w:r>
            <w:r/>
          </w:p>
        </w:tc>
        <w:tc>
          <w:tcPr>
            <w:tcW w:w="1489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99,7</w:t>
            </w:r>
            <w:r/>
          </w:p>
        </w:tc>
      </w:tr>
      <w:tr>
        <w:tblPrEx/>
        <w:trPr/>
        <w:tc>
          <w:tcPr>
            <w:tcW w:w="3528" w:type="dxa"/>
            <w:textDirection w:val="lrTb"/>
            <w:noWrap w:val="false"/>
          </w:tcPr>
          <w:p>
            <w:r>
              <w:t xml:space="preserve">Расходы бюджета муниципального района на душу населения </w:t>
            </w:r>
            <w:r/>
          </w:p>
          <w:p>
            <w:r>
              <w:t xml:space="preserve">(</w:t>
            </w:r>
            <w:r>
              <w:t xml:space="preserve">тыс.</w:t>
            </w:r>
            <w:r>
              <w:t xml:space="preserve"> руб.</w:t>
            </w:r>
            <w:r>
              <w:t xml:space="preserve">)</w:t>
            </w:r>
            <w:r/>
          </w:p>
        </w:tc>
        <w:tc>
          <w:tcPr>
            <w:tcW w:w="886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13,7</w:t>
            </w:r>
            <w:r/>
          </w:p>
        </w:tc>
        <w:tc>
          <w:tcPr>
            <w:tcW w:w="939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24,2</w:t>
            </w:r>
            <w:r/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26,3</w:t>
            </w:r>
            <w:r/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32,2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45,3</w:t>
            </w:r>
            <w:r/>
          </w:p>
        </w:tc>
        <w:tc>
          <w:tcPr>
            <w:tcW w:w="1489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в 3,3 раза</w:t>
            </w:r>
            <w:r/>
          </w:p>
        </w:tc>
      </w:tr>
      <w:tr>
        <w:tblPrEx/>
        <w:trPr/>
        <w:tc>
          <w:tcPr>
            <w:tcW w:w="3528" w:type="dxa"/>
            <w:textDirection w:val="lrTb"/>
            <w:noWrap w:val="false"/>
          </w:tcPr>
          <w:p>
            <w:r>
              <w:t xml:space="preserve">Справочно</w:t>
            </w:r>
            <w:r>
              <w:t xml:space="preserve">:</w:t>
            </w:r>
            <w:r/>
          </w:p>
          <w:p>
            <w:r>
              <w:t xml:space="preserve">Расходы консолидированного бюджета области на душу населения области (</w:t>
            </w:r>
            <w:r>
              <w:t xml:space="preserve">млн</w:t>
            </w:r>
            <w:r>
              <w:t xml:space="preserve">.</w:t>
            </w:r>
            <w:r>
              <w:t xml:space="preserve"> руб.</w:t>
            </w:r>
            <w:r>
              <w:t xml:space="preserve">)</w:t>
            </w:r>
            <w:r/>
          </w:p>
        </w:tc>
        <w:tc>
          <w:tcPr>
            <w:tcW w:w="886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28,0</w:t>
            </w:r>
            <w:r/>
          </w:p>
        </w:tc>
        <w:tc>
          <w:tcPr>
            <w:tcW w:w="939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38,8</w:t>
            </w:r>
            <w:r/>
          </w:p>
        </w:tc>
        <w:tc>
          <w:tcPr>
            <w:tcW w:w="1045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39,8</w:t>
            </w:r>
            <w:r/>
          </w:p>
        </w:tc>
        <w:tc>
          <w:tcPr>
            <w:tcW w:w="1010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42,5</w:t>
            </w:r>
            <w:r/>
          </w:p>
        </w:tc>
        <w:tc>
          <w:tcPr>
            <w:tcW w:w="992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54,6</w:t>
            </w:r>
            <w:r/>
          </w:p>
        </w:tc>
        <w:tc>
          <w:tcPr>
            <w:tcW w:w="1489" w:type="dxa"/>
            <w:textDirection w:val="lrTb"/>
            <w:noWrap w:val="false"/>
          </w:tcPr>
          <w:p>
            <w:pPr>
              <w:jc w:val="center"/>
            </w:pPr>
            <w:r>
              <w:rPr>
                <w:sz w:val="22"/>
              </w:rPr>
              <w:t xml:space="preserve">в 2,0 раза</w:t>
            </w:r>
            <w:r/>
          </w:p>
        </w:tc>
      </w:tr>
    </w:tbl>
    <w:p>
      <w:pPr>
        <w:ind w:firstLine="72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  <w:r>
        <w:rPr>
          <w:color w:val="ff0000"/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ростом общего объема расходов бюджета муниципального образования увеличиваются расходы на душу населения, так в 2011 году по отношению к 2007 году расходы бюджета  на душу населения возросли в 3,3 раза и составили 45,3 </w:t>
      </w:r>
      <w:r>
        <w:rPr>
          <w:sz w:val="28"/>
          <w:szCs w:val="28"/>
        </w:rPr>
        <w:t xml:space="preserve">тыс</w:t>
      </w:r>
      <w:r>
        <w:rPr>
          <w:sz w:val="28"/>
          <w:szCs w:val="28"/>
        </w:rPr>
        <w:t xml:space="preserve">яч рублей.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высокая зависимость бюджета муниципального образования от внешних источников фо</w:t>
      </w:r>
      <w:r>
        <w:rPr>
          <w:sz w:val="28"/>
          <w:szCs w:val="28"/>
        </w:rPr>
        <w:t xml:space="preserve">рмирования доходной базы негативно влияет на возможность реализации в районе социально-экономических программ. Однако такие резервы, как развитие промышленности, сельского хозяйства, предпринимательства, привлечение инвестиций, повышение эффективности испо</w:t>
      </w:r>
      <w:r>
        <w:rPr>
          <w:sz w:val="28"/>
          <w:szCs w:val="28"/>
        </w:rPr>
        <w:t xml:space="preserve">льзования муниципальной собственности, сокращение недоимки по обязательным платежам в бюджет позволят муниципальному образованию увеличить доходы бюджета и, соответственно, увеличить объем средств, направляемых на решение социально-значимых проблем района.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line="276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0"/>
        <w:numPr>
          <w:ilvl w:val="1"/>
          <w:numId w:val="7"/>
        </w:numPr>
        <w:ind w:left="0" w:firstLine="0"/>
        <w:jc w:val="center"/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Пространственное развитие и межмуниципальное 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pStyle w:val="1030"/>
        <w:ind w:firstLine="0"/>
        <w:jc w:val="center"/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сотрудничество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Социально-экономическое развитие муниципального образования осуществляется в его территориальных границах.</w:t>
      </w:r>
      <w:r>
        <w:rPr>
          <w:rFonts w:ascii="Arial" w:hAnsi="Arial" w:cs="Arial"/>
          <w:sz w:val="28"/>
          <w:szCs w:val="28"/>
        </w:rPr>
        <w:t xml:space="preserve"> 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состоянию на 1 января 2017 года на территории муниципалитета проживает 31,4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жителей, из которых городское население составило 14,1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человек, сельское – 17,3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человек. Плотность населения муниципального образования – 25,6 человека на 1 </w:t>
      </w:r>
      <w:r>
        <w:rPr>
          <w:sz w:val="28"/>
          <w:szCs w:val="28"/>
        </w:rPr>
        <w:t xml:space="preserve">кв.</w:t>
      </w:r>
      <w:r>
        <w:t xml:space="preserve">км</w:t>
      </w:r>
      <w:r>
        <w:t xml:space="preserve">.</w:t>
      </w:r>
      <w:r>
        <w:t xml:space="preserve">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Первоочередной задачей пространственного развития муниципального образования является поиск ресурсов уже освоенных территорий. Исходя из природно-экономических условий, приоритетным направлением его развития является агропромышленный комплекс.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right"/>
        <w:rPr>
          <w:color w:val="000000"/>
          <w:sz w:val="28"/>
          <w:szCs w:val="28"/>
        </w:rPr>
      </w:pPr>
      <w:r>
        <w:rPr>
          <w:i/>
          <w:sz w:val="28"/>
          <w:szCs w:val="28"/>
        </w:rPr>
        <w:t xml:space="preserve">Таблица 49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Перечень городских, сельских поселений и сельских населенных пунктов муниципального образования по состоянию на 01.01.2017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г.</w:t>
      </w:r>
      <w:r>
        <w:rPr>
          <w:b/>
          <w:color w:val="000000"/>
          <w:sz w:val="28"/>
          <w:szCs w:val="28"/>
        </w:rPr>
      </w:r>
      <w:r>
        <w:rPr>
          <w:b/>
          <w:color w:val="000000"/>
          <w:sz w:val="28"/>
          <w:szCs w:val="28"/>
        </w:rPr>
      </w:r>
    </w:p>
    <w:p>
      <w:pPr>
        <w:jc w:val="center"/>
        <w:rPr>
          <w:b/>
          <w:i/>
          <w:color w:val="000000"/>
        </w:rPr>
      </w:pPr>
      <w:r>
        <w:rPr>
          <w:b/>
          <w:i/>
          <w:color w:val="000000"/>
        </w:rPr>
      </w:r>
      <w:r>
        <w:rPr>
          <w:b/>
          <w:i/>
          <w:color w:val="000000"/>
        </w:rPr>
      </w:r>
      <w:r>
        <w:rPr>
          <w:b/>
          <w:i/>
          <w:color w:val="000000"/>
        </w:rPr>
      </w:r>
    </w:p>
    <w:tbl>
      <w:tblPr>
        <w:tblStyle w:val="1056"/>
        <w:tblW w:w="9464" w:type="dxa"/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134"/>
        <w:gridCol w:w="992"/>
        <w:gridCol w:w="1134"/>
        <w:gridCol w:w="3119"/>
      </w:tblGrid>
      <w:tr>
        <w:tblPrEx/>
        <w:trPr>
          <w:tblHeader/>
        </w:trPr>
        <w:tc>
          <w:tcPr>
            <w:tcW w:w="817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п/п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поселения (территории)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исленность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населе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тыс. человек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ерритория, тыс. км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лотность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населе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человек на 1 км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3119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Экономическая специализация территории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Андреевское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0,908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56,05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16,2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9" w:type="dxa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потенциал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Большанское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0,601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74,76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8,04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9" w:type="dxa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рекреациооно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-туристический потенциал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Волоконовское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1,204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89,91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13,4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9" w:type="dxa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потенциал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Волотовское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0,868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58,47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14,8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9" w:type="dxa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потенциал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Ездоченское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2,306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142,26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16,2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9" w:type="dxa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рекреациооно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-туристический потенциал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Кочегуренское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1,212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79,86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15,2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9" w:type="dxa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потенциал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Лозновское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0,667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40,10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16,6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9" w:type="dxa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потенциал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Лубянское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0,539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44,47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12,1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9" w:type="dxa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потенциал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Малотроицкое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1,328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97,11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13,7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9" w:type="dxa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потенциал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Новореченское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0,620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54,75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11,3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9" w:type="dxa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потенциал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Огибнянское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0,966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67,60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14,3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9" w:type="dxa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потенциал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Ольшанское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1,402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77,26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18,1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9" w:type="dxa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рекреациооно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-туристический потенциал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Орликовское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1,407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101,52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13,9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9" w:type="dxa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потенциал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Прилепенское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1,258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110,57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11,4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9" w:type="dxa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рекреациооно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-туристический потенциал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Русскохаланское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1,981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45,94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43,1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9" w:type="dxa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Сельскохозяйственный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потенциал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городское поселение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ind w:left="57" w:right="5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«Поселок Чернянка»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14,116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86,84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162,6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  <w:tc>
          <w:tcPr>
            <w:tcW w:w="3119" w:type="dxa"/>
            <w:textDirection w:val="lrTb"/>
            <w:noWrap w:val="false"/>
          </w:tcPr>
          <w:p>
            <w:pPr>
              <w:ind w:left="57"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Производственный,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рекреациооно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-туристический. транзитный потенциал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</w:tc>
      </w:tr>
    </w:tbl>
    <w:p>
      <w:pPr>
        <w:ind w:firstLine="708"/>
        <w:jc w:val="both"/>
        <w:rPr>
          <w:bCs/>
        </w:rPr>
      </w:pPr>
      <w:r>
        <w:rPr>
          <w:bCs/>
        </w:rPr>
      </w:r>
      <w:r>
        <w:rPr>
          <w:bCs/>
        </w:rPr>
      </w:r>
      <w:r>
        <w:rPr>
          <w:bCs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транзитных транспортных магистралей обуславливает формирование основных внешних связей муниципального образования с другими районными центрами Белгородской области: Новый Оскол, Старый Оскол, Губкин, Короча, Красное.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Немаловажную роль играет пространственное развитие, основные показатели которого приведены в таблице 50.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50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1028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показатели пространственного развития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1028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муниципального образования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10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1056"/>
        <w:tblW w:w="9923" w:type="dxa"/>
        <w:tblLook w:val="04A0" w:firstRow="1" w:lastRow="0" w:firstColumn="1" w:lastColumn="0" w:noHBand="0" w:noVBand="1"/>
      </w:tblPr>
      <w:tblGrid>
        <w:gridCol w:w="817"/>
        <w:gridCol w:w="2977"/>
        <w:gridCol w:w="1026"/>
        <w:gridCol w:w="992"/>
        <w:gridCol w:w="992"/>
        <w:gridCol w:w="993"/>
        <w:gridCol w:w="992"/>
        <w:gridCol w:w="1134"/>
      </w:tblGrid>
      <w:tr>
        <w:tblPrEx/>
        <w:trPr>
          <w:tblHeader/>
        </w:trPr>
        <w:tc>
          <w:tcPr>
            <w:tcW w:w="817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pStyle w:val="1028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Показатели, ед. изм.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026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2016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Темп роста 2016 к 2012,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%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textDirection w:val="lrTb"/>
            <w:noWrap w:val="false"/>
          </w:tcPr>
          <w:p>
            <w:pPr>
              <w:pStyle w:val="1028"/>
              <w:ind w:left="-142" w:right="-25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Численность населения,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тыс.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человек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26" w:type="dxa"/>
            <w:vAlign w:val="center"/>
            <w:textDirection w:val="lrTb"/>
            <w:noWrap w:val="false"/>
          </w:tcPr>
          <w:p>
            <w:pPr>
              <w:pStyle w:val="1028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97,5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textDirection w:val="lrTb"/>
            <w:noWrap w:val="false"/>
          </w:tcPr>
          <w:p>
            <w:pPr>
              <w:pStyle w:val="1028"/>
              <w:ind w:left="-142" w:right="-25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Доля сельского населения,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%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26" w:type="dxa"/>
            <w:vAlign w:val="center"/>
            <w:textDirection w:val="lrTb"/>
            <w:noWrap w:val="false"/>
          </w:tcPr>
          <w:p>
            <w:pPr>
              <w:pStyle w:val="1028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53,1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52,9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52,9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1028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52,6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52,5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98,9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textDirection w:val="lrTb"/>
            <w:noWrap w:val="false"/>
          </w:tcPr>
          <w:p>
            <w:pPr>
              <w:pStyle w:val="1028"/>
              <w:ind w:left="-142" w:right="-25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Плотность населения, человек на 1 км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0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25,9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25,8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25,7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25,6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97,7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textDirection w:val="lrTb"/>
            <w:noWrap w:val="false"/>
          </w:tcPr>
          <w:p>
            <w:pPr>
              <w:pStyle w:val="1028"/>
              <w:ind w:left="-142" w:right="-25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128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Производственный потенциал на единицу территории, млн</w:t>
            </w:r>
            <w:r>
              <w:rPr>
                <w:rFonts w:ascii="Times New Roman" w:hAnsi="Times New Roman"/>
              </w:rPr>
              <w:t xml:space="preserve">.</w:t>
            </w:r>
            <w:r>
              <w:rPr>
                <w:rFonts w:ascii="Times New Roman" w:hAnsi="Times New Roman"/>
              </w:rPr>
              <w:t xml:space="preserve"> рублей на 1 км</w:t>
            </w:r>
            <w:r>
              <w:rPr>
                <w:rFonts w:ascii="Times New Roman" w:hAnsi="Times New Roman"/>
                <w:vertAlign w:val="superscript"/>
              </w:rPr>
              <w:t xml:space="preserve">2</w:t>
            </w:r>
            <w:r>
              <w:rPr>
                <w:rFonts w:ascii="Times New Roman" w:hAnsi="Times New Roman"/>
              </w:rPr>
            </w:r>
            <w:r>
              <w:rPr>
                <w:rFonts w:ascii="Times New Roman" w:hAnsi="Times New Roman"/>
              </w:rPr>
            </w:r>
          </w:p>
        </w:tc>
        <w:tc>
          <w:tcPr>
            <w:tcW w:w="10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2,45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2,47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3,17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4,99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5,99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2 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817" w:type="dxa"/>
            <w:textDirection w:val="lrTb"/>
            <w:noWrap w:val="false"/>
          </w:tcPr>
          <w:p>
            <w:pPr>
              <w:pStyle w:val="1028"/>
              <w:ind w:left="-142" w:right="-25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977" w:type="dxa"/>
            <w:textDirection w:val="lrTb"/>
            <w:noWrap w:val="false"/>
          </w:tcPr>
          <w:p>
            <w:pPr>
              <w:pStyle w:val="1028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инфраструктур на единицу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(включая транспортные сети), км на 1 км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2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0,41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0,57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4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103,6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  <w:r>
        <w:rPr>
          <w:bCs/>
          <w:sz w:val="28"/>
          <w:szCs w:val="28"/>
        </w:rPr>
      </w:r>
    </w:p>
    <w:p>
      <w:pPr>
        <w:contextualSpacing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взаимодействия и развития </w:t>
      </w:r>
      <w:r>
        <w:rPr>
          <w:color w:val="000000"/>
          <w:sz w:val="28"/>
          <w:szCs w:val="28"/>
        </w:rPr>
        <w:t xml:space="preserve">межмуниципального сотрудничества</w:t>
      </w:r>
      <w:r>
        <w:rPr>
          <w:sz w:val="28"/>
          <w:szCs w:val="28"/>
        </w:rPr>
        <w:t xml:space="preserve"> администрация муниципального образования стремится использовать лучший опыт ближних и дальних соседей во всех сферах осуществления самоуправления, организации экономики и социальной сферы.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Широко практикуются следующие формы изучения опыта организации деятельности органов местного самоуправления: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выезды делегаций руководителей и специалистов различных сфер деятельности района в районы Белгородской облас</w:t>
      </w:r>
      <w:r>
        <w:rPr>
          <w:sz w:val="28"/>
          <w:szCs w:val="28"/>
        </w:rPr>
        <w:t xml:space="preserve">ти и соседних областей, страны СНГ с целью обзора, анализа, участия в заседании конференций и круглых столов по обмену опытом в сфере экономического развития территорий,  организации производства, благоустройства территорий, изучения культурных традиций;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696"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- организация рабочих поездок специалистов администрации района по направлениям деятельности в органы местного самоуправления районов области, что да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т положительный результат в плане организации эффективной деятельности и применению передового опыта.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contextualSpacing/>
        <w:ind w:firstLine="696"/>
        <w:jc w:val="both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«</w:t>
      </w:r>
      <w:r>
        <w:rPr>
          <w:b/>
          <w:sz w:val="28"/>
          <w:szCs w:val="28"/>
        </w:rPr>
        <w:t xml:space="preserve">1.7. Муниципально-частное партнёрство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условиях ограниче</w:t>
      </w:r>
      <w:r>
        <w:rPr>
          <w:sz w:val="28"/>
          <w:szCs w:val="28"/>
        </w:rPr>
        <w:t xml:space="preserve">нных финансовых возможностей для привлечения частного капитала в решении социально-экономических проблем муниципальных образований особую актуальность приобретает сотрудничество муниципалитетов с частным бизнесом в форме муниципально-частного партнерства. </w:t>
      </w:r>
      <w:bookmarkStart w:id="5" w:name="_Hlk53756573"/>
      <w:r>
        <w:rPr>
          <w:sz w:val="28"/>
          <w:szCs w:val="28"/>
        </w:rPr>
        <w:t xml:space="preserve">Муниципально-частное партнёрство </w:t>
      </w:r>
      <w:bookmarkEnd w:id="5"/>
      <w:r>
        <w:rPr>
          <w:sz w:val="28"/>
          <w:szCs w:val="28"/>
        </w:rPr>
        <w:t xml:space="preserve">(МЧП) рассматривается как юридически оформленное на определенный срок и основанное на объединении ресурсов, распределении рисков сотрудничество публичн</w:t>
      </w:r>
      <w:r>
        <w:rPr>
          <w:sz w:val="28"/>
          <w:szCs w:val="28"/>
        </w:rPr>
        <w:t xml:space="preserve">ого партнера с одной стороны и частного партнера, с другой стороны, которое осуществляется на основании соглашения о МЧП, заключенного в соответствии с Федеральным законом от 13.07.2015 г. № 224-ФЗ «О государственно-частном партнерстве, муниципально-частно</w:t>
      </w:r>
      <w:r>
        <w:rPr>
          <w:sz w:val="28"/>
          <w:szCs w:val="28"/>
        </w:rPr>
        <w:t xml:space="preserve">м партнерстве в Российской Федерации». Через механизмы МЧП возможно реализовывать отдельные социально-значимые проекты в дорожной сфере, сфере благоустройства городской территории, жилищно-коммунального хозяйства и других, в том числе на условиях долевого </w:t>
      </w:r>
      <w:r>
        <w:rPr>
          <w:sz w:val="28"/>
          <w:szCs w:val="28"/>
        </w:rPr>
        <w:t xml:space="preserve">софинансирования</w:t>
      </w:r>
      <w:r>
        <w:rPr>
          <w:sz w:val="28"/>
          <w:szCs w:val="28"/>
        </w:rPr>
        <w:t xml:space="preserve"> из средств местного бюджета. Такой формат взаимоотношений муниципалитета с представителями частного бизнеса - один из способов повышения эффективности муниципальной поддержки инвестиционной деятельности соответствующей территории.  На</w:t>
      </w:r>
      <w:r>
        <w:rPr>
          <w:sz w:val="28"/>
          <w:szCs w:val="28"/>
        </w:rPr>
        <w:t xml:space="preserve"> территории муниципального образования благодаря МЧП к концу 2019 года для снабжения населения газомоторным топливом была построена автомобильная газонаполнительная станция производительной мощностью не менее 11,8 млн. м3 в год. </w:t>
      </w:r>
      <w:r>
        <w:rPr>
          <w:sz w:val="28"/>
          <w:szCs w:val="28"/>
        </w:rPr>
        <w:t xml:space="preserve">В ГАС «Управление» ведется реестр и внесены все основные ключевые показатели».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</w:p>
    <w:p>
      <w:pPr>
        <w:ind w:firstLine="720"/>
        <w:jc w:val="center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Раздел 2. Стартовые условия для разработки стратегии 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20"/>
        <w:jc w:val="center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муниципального образования</w:t>
      </w:r>
      <w:r>
        <w:rPr>
          <w:b/>
          <w:sz w:val="28"/>
          <w:szCs w:val="28"/>
        </w:rPr>
        <w:t xml:space="preserve"> </w:t>
      </w:r>
      <w:r>
        <w:rPr>
          <w:b/>
          <w:bCs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</w:rPr>
      </w:r>
    </w:p>
    <w:p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 Внешние и внутренние факторы развития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более четкого и сис</w:t>
      </w:r>
      <w:r>
        <w:rPr>
          <w:sz w:val="28"/>
          <w:szCs w:val="28"/>
        </w:rPr>
        <w:t xml:space="preserve">темного представления о процессе развития муниципального образования следует выделить основные факторы, оказывающие влияние на его развитие. Целесообразно разделить эти факторы на внутренние и внешние по отношению к системе муниципального образования (МО).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Внутренние факторы имеют свою основу внутри системы МО и на них могут влиять субъекты и объекты стратегии, следовательно, можно сформировать методы воздействия на эти факторы и учитывать их в стратегии.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Внешние факторы им</w:t>
      </w:r>
      <w:r>
        <w:rPr>
          <w:sz w:val="28"/>
          <w:szCs w:val="28"/>
        </w:rPr>
        <w:t xml:space="preserve">еют свою основу за пределами системы МО и влиять на них зачастую бывает либо невозможно, либо довольно трудно и неэффективно. Поэтому их влияние следует учитывать в стратегии, как заданные условия с учетом прогноза их изменения и воздействия на систему МО.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</w:t>
      </w:r>
      <w:r>
        <w:rPr>
          <w:i/>
          <w:sz w:val="28"/>
          <w:szCs w:val="28"/>
        </w:rPr>
        <w:t xml:space="preserve">5</w:t>
      </w:r>
      <w:r>
        <w:rPr>
          <w:i/>
          <w:sz w:val="28"/>
          <w:szCs w:val="28"/>
        </w:rPr>
        <w:t xml:space="preserve">1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внутренних и внешних факторов развития </w:t>
      </w:r>
      <w:r>
        <w:rPr>
          <w:b/>
          <w:sz w:val="28"/>
          <w:szCs w:val="28"/>
        </w:rPr>
        <w:t xml:space="preserve">МО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tbl>
      <w:tblPr>
        <w:tblW w:w="9540" w:type="dxa"/>
        <w:tblInd w:w="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24"/>
        <w:gridCol w:w="4716"/>
      </w:tblGrid>
      <w:tr>
        <w:tblPrEx/>
        <w:trPr>
          <w:trHeight w:val="706" w:hRule="exact"/>
          <w:tblHeader/>
        </w:trPr>
        <w:tc>
          <w:tcPr>
            <w:shd w:val="clear" w:color="auto" w:fill="ffffff"/>
            <w:tcW w:w="4824" w:type="dxa"/>
            <w:vAlign w:val="center"/>
            <w:textDirection w:val="lrTb"/>
            <w:noWrap w:val="false"/>
          </w:tcPr>
          <w:p>
            <w:pPr>
              <w:ind w:firstLine="567"/>
              <w:jc w:val="center"/>
              <w:rPr>
                <w:b/>
              </w:rPr>
            </w:pPr>
            <w:r>
              <w:rPr>
                <w:b/>
              </w:rPr>
              <w:t xml:space="preserve">Внутренние факторы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auto" w:fill="ffffff"/>
            <w:tcW w:w="4716" w:type="dxa"/>
            <w:vAlign w:val="center"/>
            <w:textDirection w:val="lrTb"/>
            <w:noWrap w:val="false"/>
          </w:tcPr>
          <w:p>
            <w:pPr>
              <w:ind w:firstLine="567"/>
              <w:jc w:val="center"/>
              <w:rPr>
                <w:b/>
              </w:rPr>
            </w:pPr>
            <w:r>
              <w:rPr>
                <w:b/>
              </w:rPr>
              <w:t xml:space="preserve">Внешние факторы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cantSplit/>
          <w:trHeight w:val="1140"/>
        </w:trPr>
        <w:tc>
          <w:tcPr>
            <w:shd w:val="clear" w:color="auto" w:fill="ffffff"/>
            <w:tcW w:w="4824" w:type="dxa"/>
            <w:textDirection w:val="lrTb"/>
            <w:noWrap w:val="false"/>
          </w:tcPr>
          <w:p>
            <w:pPr>
              <w:jc w:val="both"/>
            </w:pPr>
            <w:r>
              <w:t xml:space="preserve">1. Политика органов местного самоуправления муниципального образования</w:t>
            </w:r>
            <w:r/>
          </w:p>
        </w:tc>
        <w:tc>
          <w:tcPr>
            <w:shd w:val="clear" w:color="auto" w:fill="ffffff"/>
            <w:tcW w:w="4716" w:type="dxa"/>
            <w:textDirection w:val="lrTb"/>
            <w:noWrap w:val="false"/>
          </w:tcPr>
          <w:p>
            <w:pPr>
              <w:jc w:val="both"/>
            </w:pPr>
            <w:r>
              <w:t xml:space="preserve">1. Элементы федеральной и региональной политики, влияющие на жизнедеятельность и перспективы развития муниципального образования</w:t>
            </w:r>
            <w:r/>
          </w:p>
        </w:tc>
      </w:tr>
      <w:tr>
        <w:tblPrEx/>
        <w:trPr>
          <w:cantSplit/>
          <w:trHeight w:val="518"/>
        </w:trPr>
        <w:tc>
          <w:tcPr>
            <w:shd w:val="clear" w:color="auto" w:fill="ffffff"/>
            <w:tcW w:w="4824" w:type="dxa"/>
            <w:textDirection w:val="lrTb"/>
            <w:noWrap w:val="false"/>
          </w:tcPr>
          <w:p>
            <w:pPr>
              <w:jc w:val="both"/>
            </w:pPr>
            <w:r>
              <w:t xml:space="preserve">2. Функционирование общественных организаций муниципального образования</w:t>
            </w:r>
            <w:r/>
          </w:p>
        </w:tc>
        <w:tc>
          <w:tcPr>
            <w:shd w:val="clear" w:color="auto" w:fill="ffffff"/>
            <w:tcW w:w="4716" w:type="dxa"/>
            <w:textDirection w:val="lrTb"/>
            <w:noWrap w:val="false"/>
          </w:tcPr>
          <w:p>
            <w:pPr>
              <w:jc w:val="both"/>
            </w:pPr>
            <w:r>
              <w:t xml:space="preserve">2. Федеральное и региональное законодательство</w:t>
            </w:r>
            <w:r/>
          </w:p>
        </w:tc>
      </w:tr>
      <w:tr>
        <w:tblPrEx/>
        <w:trPr>
          <w:cantSplit/>
          <w:trHeight w:val="498"/>
        </w:trPr>
        <w:tc>
          <w:tcPr>
            <w:shd w:val="clear" w:color="auto" w:fill="ffffff"/>
            <w:tcW w:w="4824" w:type="dxa"/>
            <w:textDirection w:val="lrTb"/>
            <w:noWrap w:val="false"/>
          </w:tcPr>
          <w:p>
            <w:pPr>
              <w:jc w:val="both"/>
            </w:pPr>
            <w:r>
              <w:t xml:space="preserve">3. Наличие минерально-сырьевой базы в муниципальном образовании</w:t>
            </w:r>
            <w:r/>
          </w:p>
        </w:tc>
        <w:tc>
          <w:tcPr>
            <w:shd w:val="clear" w:color="auto" w:fill="ffffff"/>
            <w:tcW w:w="4716" w:type="dxa"/>
            <w:textDirection w:val="lrTb"/>
            <w:noWrap w:val="false"/>
          </w:tcPr>
          <w:p>
            <w:pPr>
              <w:jc w:val="both"/>
            </w:pPr>
            <w:r>
              <w:t xml:space="preserve">3.  Ценовая и тарифная политика естественных монополий</w:t>
            </w:r>
            <w:r/>
          </w:p>
        </w:tc>
      </w:tr>
      <w:tr>
        <w:tblPrEx/>
        <w:trPr>
          <w:cantSplit/>
          <w:trHeight w:val="650"/>
        </w:trPr>
        <w:tc>
          <w:tcPr>
            <w:shd w:val="clear" w:color="auto" w:fill="ffffff"/>
            <w:tcW w:w="4824" w:type="dxa"/>
            <w:textDirection w:val="lrTb"/>
            <w:noWrap w:val="false"/>
          </w:tcPr>
          <w:p>
            <w:pPr>
              <w:jc w:val="both"/>
            </w:pPr>
            <w:r>
              <w:t xml:space="preserve">4. Функционирование  различных видов  экономической деятельности в муниципальном образовании</w:t>
            </w:r>
            <w:r/>
          </w:p>
        </w:tc>
        <w:tc>
          <w:tcPr>
            <w:shd w:val="clear" w:color="auto" w:fill="ffffff"/>
            <w:tcW w:w="4716" w:type="dxa"/>
            <w:textDirection w:val="lrTb"/>
            <w:noWrap w:val="false"/>
          </w:tcPr>
          <w:p>
            <w:pPr>
              <w:jc w:val="both"/>
            </w:pPr>
            <w:r>
              <w:t xml:space="preserve">4. </w:t>
            </w:r>
            <w:r>
              <w:t xml:space="preserve">Диспаритет</w:t>
            </w:r>
            <w:r>
              <w:t xml:space="preserve"> цен на готовую сельскохозяйственную продукцию, энергетические и материальные ресурсы</w:t>
            </w:r>
            <w:r/>
          </w:p>
        </w:tc>
      </w:tr>
      <w:tr>
        <w:tblPrEx/>
        <w:trPr>
          <w:cantSplit/>
          <w:trHeight w:val="718"/>
        </w:trPr>
        <w:tc>
          <w:tcPr>
            <w:shd w:val="clear" w:color="auto" w:fill="ffffff"/>
            <w:tcW w:w="4824" w:type="dxa"/>
            <w:textDirection w:val="lrTb"/>
            <w:noWrap w:val="false"/>
          </w:tcPr>
          <w:p>
            <w:pPr>
              <w:jc w:val="both"/>
            </w:pPr>
            <w:r>
              <w:t xml:space="preserve">5. Инвестиционная привлекательность муниципального образования</w:t>
            </w:r>
            <w:r/>
          </w:p>
          <w:p>
            <w:pPr>
              <w:ind w:firstLine="102"/>
              <w:jc w:val="both"/>
            </w:pPr>
            <w:r/>
            <w:r/>
          </w:p>
        </w:tc>
        <w:tc>
          <w:tcPr>
            <w:shd w:val="clear" w:color="auto" w:fill="ffffff"/>
            <w:tcW w:w="4716" w:type="dxa"/>
            <w:textDirection w:val="lrTb"/>
            <w:noWrap w:val="false"/>
          </w:tcPr>
          <w:p>
            <w:pPr>
              <w:jc w:val="both"/>
            </w:pPr>
            <w:r>
              <w:t xml:space="preserve">5. Государственная поддержка развития отдельных секторов экономики и социальной сферы</w:t>
            </w:r>
            <w:r/>
          </w:p>
        </w:tc>
      </w:tr>
      <w:tr>
        <w:tblPrEx/>
        <w:trPr>
          <w:cantSplit/>
          <w:trHeight w:val="650"/>
        </w:trPr>
        <w:tc>
          <w:tcPr>
            <w:shd w:val="clear" w:color="auto" w:fill="ffffff"/>
            <w:tcW w:w="4824" w:type="dxa"/>
            <w:textDirection w:val="lrTb"/>
            <w:noWrap w:val="false"/>
          </w:tcPr>
          <w:p>
            <w:pPr>
              <w:jc w:val="both"/>
            </w:pPr>
            <w:r>
              <w:t xml:space="preserve">6. Состояние и уровень развития</w:t>
            </w:r>
            <w:r/>
          </w:p>
          <w:p>
            <w:pPr>
              <w:ind w:firstLine="102"/>
              <w:jc w:val="both"/>
            </w:pPr>
            <w:r>
              <w:t xml:space="preserve">социальной инфраструктуры муниципального образования</w:t>
            </w:r>
            <w:r/>
          </w:p>
        </w:tc>
        <w:tc>
          <w:tcPr>
            <w:shd w:val="clear" w:color="auto" w:fill="ffffff"/>
            <w:tcW w:w="4716" w:type="dxa"/>
            <w:textDirection w:val="lrTb"/>
            <w:noWrap w:val="false"/>
          </w:tcPr>
          <w:p>
            <w:pPr>
              <w:jc w:val="both"/>
            </w:pPr>
            <w:r>
              <w:t xml:space="preserve">6. Изменение конъюнктуры сырьевых и товарных рынков</w:t>
            </w:r>
            <w:r/>
          </w:p>
        </w:tc>
      </w:tr>
      <w:tr>
        <w:tblPrEx/>
        <w:trPr>
          <w:cantSplit/>
          <w:trHeight w:val="818"/>
        </w:trPr>
        <w:tc>
          <w:tcPr>
            <w:shd w:val="clear" w:color="auto" w:fill="ffffff"/>
            <w:tcW w:w="4824" w:type="dxa"/>
            <w:textDirection w:val="lrTb"/>
            <w:noWrap w:val="false"/>
          </w:tcPr>
          <w:p>
            <w:pPr>
              <w:jc w:val="both"/>
            </w:pPr>
            <w:r>
              <w:t xml:space="preserve">7. Уровень духовного, интеллектуального и культурного развития населения муниципального образования</w:t>
            </w:r>
            <w:r/>
          </w:p>
        </w:tc>
        <w:tc>
          <w:tcPr>
            <w:shd w:val="clear" w:color="auto" w:fill="ffffff"/>
            <w:tcW w:w="4716" w:type="dxa"/>
            <w:textDirection w:val="lrTb"/>
            <w:noWrap w:val="false"/>
          </w:tcPr>
          <w:p>
            <w:pPr>
              <w:jc w:val="both"/>
            </w:pPr>
            <w:r>
              <w:t xml:space="preserve">7. Востребованность ресурсов            </w:t>
            </w:r>
            <w:r/>
          </w:p>
        </w:tc>
      </w:tr>
      <w:tr>
        <w:tblPrEx/>
        <w:trPr>
          <w:cantSplit/>
          <w:trHeight w:val="519"/>
        </w:trPr>
        <w:tc>
          <w:tcPr>
            <w:shd w:val="clear" w:color="auto" w:fill="ffffff"/>
            <w:tcW w:w="4824" w:type="dxa"/>
            <w:textDirection w:val="lrTb"/>
            <w:noWrap w:val="false"/>
          </w:tcPr>
          <w:p>
            <w:pPr>
              <w:jc w:val="both"/>
            </w:pPr>
            <w:r>
              <w:t xml:space="preserve">8. Стратегическая и территориальная значимость муниципального образования</w:t>
            </w:r>
            <w:r/>
          </w:p>
        </w:tc>
        <w:tc>
          <w:tcPr>
            <w:shd w:val="clear" w:color="auto" w:fill="ffffff"/>
            <w:tcW w:w="4716" w:type="dxa"/>
            <w:textDirection w:val="lrTb"/>
            <w:noWrap w:val="false"/>
          </w:tcPr>
          <w:p>
            <w:pPr>
              <w:jc w:val="both"/>
            </w:pPr>
            <w:r>
              <w:t xml:space="preserve">8. Потенциальная заинтересованность инвесторов</w:t>
            </w:r>
            <w:r/>
          </w:p>
        </w:tc>
      </w:tr>
      <w:tr>
        <w:tblPrEx/>
        <w:trPr>
          <w:trHeight w:val="416" w:hRule="exact"/>
        </w:trPr>
        <w:tc>
          <w:tcPr>
            <w:shd w:val="clear" w:color="auto" w:fill="ffffff"/>
            <w:tcW w:w="4824" w:type="dxa"/>
            <w:textDirection w:val="lrTb"/>
            <w:noWrap w:val="false"/>
          </w:tcPr>
          <w:p>
            <w:pPr>
              <w:jc w:val="both"/>
            </w:pPr>
            <w:r>
              <w:t xml:space="preserve">9. Эффективность бюджетных расходов</w:t>
            </w:r>
            <w:r/>
          </w:p>
        </w:tc>
        <w:tc>
          <w:tcPr>
            <w:shd w:val="clear" w:color="auto" w:fill="ffffff"/>
            <w:tcW w:w="4716" w:type="dxa"/>
            <w:textDirection w:val="lrTb"/>
            <w:noWrap w:val="false"/>
          </w:tcPr>
          <w:p>
            <w:pPr>
              <w:jc w:val="both"/>
            </w:pPr>
            <w:r>
              <w:t xml:space="preserve">9. Межбюджетные отношения</w:t>
            </w:r>
            <w:r/>
          </w:p>
        </w:tc>
      </w:tr>
      <w:tr>
        <w:tblPrEx/>
        <w:trPr>
          <w:trHeight w:val="416" w:hRule="exact"/>
        </w:trPr>
        <w:tc>
          <w:tcPr>
            <w:shd w:val="clear" w:color="auto" w:fill="ffffff"/>
            <w:tcW w:w="4824" w:type="dxa"/>
            <w:textDirection w:val="lrTb"/>
            <w:noWrap w:val="false"/>
          </w:tcPr>
          <w:p>
            <w:pPr>
              <w:jc w:val="both"/>
            </w:pPr>
            <w:r/>
            <w:r/>
          </w:p>
        </w:tc>
        <w:tc>
          <w:tcPr>
            <w:shd w:val="clear" w:color="auto" w:fill="ffffff"/>
            <w:tcW w:w="4716" w:type="dxa"/>
            <w:textDirection w:val="lrTb"/>
            <w:noWrap w:val="false"/>
          </w:tcPr>
          <w:p>
            <w:pPr>
              <w:jc w:val="both"/>
            </w:pPr>
            <w:r>
              <w:t xml:space="preserve">10. Финансово-экономический кризис</w:t>
            </w:r>
            <w:r/>
          </w:p>
        </w:tc>
      </w:tr>
    </w:tbl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>
        <w:rPr>
          <w:b/>
          <w:sz w:val="28"/>
          <w:szCs w:val="28"/>
          <w:lang w:val="en-US"/>
        </w:rPr>
        <w:t xml:space="preserve">SWOT</w:t>
      </w:r>
      <w:r>
        <w:rPr>
          <w:b/>
          <w:sz w:val="28"/>
          <w:szCs w:val="28"/>
        </w:rPr>
        <w:t xml:space="preserve"> – анализ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основе оценки исходной социально-экономической ситуации муниципального образования для обеспечени</w:t>
      </w:r>
      <w:r>
        <w:rPr>
          <w:sz w:val="28"/>
          <w:szCs w:val="28"/>
        </w:rPr>
        <w:t xml:space="preserve">я всестороннего учета местной специфики, анализа внутренних и внешних факторов, определяющих развитие муниципального образования, определения конкурентных преимуществ и проблем, тормозящих прогрессивное движение, негативных моментов и тенденций, проведен  </w:t>
      </w:r>
      <w:r>
        <w:rPr>
          <w:sz w:val="28"/>
          <w:szCs w:val="28"/>
          <w:lang w:val="en-US"/>
        </w:rPr>
        <w:t xml:space="preserve">SWOT</w:t>
      </w:r>
      <w:r>
        <w:rPr>
          <w:sz w:val="28"/>
          <w:szCs w:val="28"/>
        </w:rPr>
        <w:t xml:space="preserve">-анализ социально-экономического развития муниципального образования.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Уникальность, конкурентные преимущества, которые должны быть использованы для перспективного развития муниципального образования</w:t>
      </w:r>
      <w:r>
        <w:rPr>
          <w:sz w:val="28"/>
          <w:szCs w:val="28"/>
        </w:rPr>
        <w:t xml:space="preserve">, и  ключевые проблемы, требующие решения для достижения высокого уровня развития и на решение которых будет направлена стратегия социально-экономического развития муниципального образования</w:t>
      </w:r>
      <w:r>
        <w:rPr>
          <w:sz w:val="28"/>
          <w:szCs w:val="28"/>
        </w:rPr>
        <w:t xml:space="preserve">, представлен</w:t>
      </w:r>
      <w:r>
        <w:rPr>
          <w:sz w:val="28"/>
          <w:szCs w:val="28"/>
        </w:rPr>
        <w:t xml:space="preserve">ы в таблице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5</w:t>
      </w:r>
      <w:r>
        <w:rPr>
          <w:i/>
          <w:sz w:val="28"/>
          <w:szCs w:val="28"/>
        </w:rPr>
        <w:t xml:space="preserve">2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Уникальность, конкурентные преимущества и ключевые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проблемы муниципального образования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567"/>
        <w:jc w:val="center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240"/>
        <w:gridCol w:w="4500"/>
      </w:tblGrid>
      <w:tr>
        <w:tblPrEx/>
        <w:trPr>
          <w:trHeight w:val="548"/>
          <w:tblHeader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Сферы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24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Уникальность, </w:t>
            </w:r>
            <w:r>
              <w:rPr>
                <w:b/>
              </w:rPr>
              <w:t xml:space="preserve">к</w:t>
            </w:r>
            <w:r>
              <w:rPr>
                <w:b/>
              </w:rPr>
              <w:t xml:space="preserve">онкурентные преимущества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50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Ключевые проблемы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gridSpan w:val="3"/>
            <w:tcW w:w="972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1. Ресурсный потенциал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1.1. Географическое положение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  <w:tabs>
                <w:tab w:val="left" w:pos="72" w:leader="none"/>
              </w:tabs>
            </w:pPr>
            <w:r>
              <w:t xml:space="preserve">- муниципальное образование является автомобильным и железнодорожным узлом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r>
              <w:t xml:space="preserve">- удаленность от областного центра – </w:t>
            </w:r>
            <w:r>
              <w:t xml:space="preserve">110 км</w:t>
            </w:r>
            <w:r/>
          </w:p>
        </w:tc>
      </w:tr>
      <w:tr>
        <w:tblPrEx/>
        <w:trPr>
          <w:trHeight w:val="508"/>
        </w:trPr>
        <w:tc>
          <w:tcPr>
            <w:tcW w:w="1980" w:type="dxa"/>
            <w:textDirection w:val="lrTb"/>
            <w:noWrap w:val="false"/>
          </w:tcPr>
          <w:p>
            <w:r>
              <w:t xml:space="preserve">1.2. Природно-ресурсный потенциал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благоприятный климат;</w:t>
            </w:r>
            <w:r/>
          </w:p>
          <w:p>
            <w:pPr>
              <w:jc w:val="both"/>
            </w:pPr>
            <w:r>
              <w:t xml:space="preserve">- наличие плодородных сельскохозяйственных земель;</w:t>
            </w:r>
            <w:r/>
          </w:p>
          <w:p>
            <w:pPr>
              <w:jc w:val="both"/>
            </w:pPr>
            <w:r>
              <w:t xml:space="preserve">- наличие месторождений полезных ископаемых: глины, песка, мела</w:t>
            </w:r>
            <w:r>
              <w:t xml:space="preserve">,</w:t>
            </w:r>
            <w:r>
              <w:t xml:space="preserve"> залежей железной руды;</w:t>
            </w:r>
            <w:r/>
          </w:p>
          <w:p>
            <w:pPr>
              <w:jc w:val="both"/>
            </w:pPr>
            <w:r>
              <w:t xml:space="preserve">- наличие лесов и </w:t>
            </w:r>
            <w:r>
              <w:t xml:space="preserve">противоэррозийных</w:t>
            </w:r>
            <w:r>
              <w:t xml:space="preserve"> лесонасаждений;</w:t>
            </w:r>
            <w:r/>
          </w:p>
          <w:p>
            <w:pPr>
              <w:jc w:val="both"/>
            </w:pPr>
            <w:r>
              <w:t xml:space="preserve">- наличие водных </w:t>
            </w:r>
            <w:r>
              <w:t xml:space="preserve">объектов для разведения рыбы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недостаточно эффективное использование полезных ископаемых, водных и земельных ресурсов;</w:t>
            </w:r>
            <w:r/>
          </w:p>
          <w:p>
            <w:pPr>
              <w:jc w:val="both"/>
            </w:pPr>
            <w:r>
              <w:t xml:space="preserve">- заиливание и обмеление рек;</w:t>
            </w:r>
            <w:r/>
          </w:p>
          <w:p>
            <w:pPr>
              <w:jc w:val="both"/>
            </w:pPr>
            <w:r>
              <w:t xml:space="preserve">- низкое качество питьевой воды (повышенное содержание железа)</w:t>
            </w:r>
            <w:r/>
          </w:p>
        </w:tc>
      </w:tr>
      <w:tr>
        <w:tblPrEx/>
        <w:trPr/>
        <w:tc>
          <w:tcPr>
            <w:gridSpan w:val="3"/>
            <w:tcW w:w="972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2. Качество жизни населения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2.1. Демография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наличие и реализация целевых программ, направленных на улучшение демографической ситуации;</w:t>
            </w:r>
            <w:r/>
          </w:p>
          <w:p>
            <w:pPr>
              <w:jc w:val="both"/>
            </w:pPr>
            <w:r>
              <w:t xml:space="preserve">- сокращение смертности населения;</w:t>
            </w:r>
            <w:r/>
          </w:p>
          <w:p>
            <w:pPr>
              <w:jc w:val="both"/>
            </w:pPr>
            <w:r>
              <w:t xml:space="preserve">- </w:t>
            </w:r>
            <w:r>
              <w:t xml:space="preserve">в последнее время </w:t>
            </w:r>
            <w:r>
              <w:t xml:space="preserve">увеличение уровня </w:t>
            </w:r>
            <w:r>
              <w:t xml:space="preserve">рождаемости;</w:t>
            </w:r>
            <w:r/>
          </w:p>
          <w:p>
            <w:pPr>
              <w:jc w:val="both"/>
            </w:pPr>
            <w:r>
              <w:t xml:space="preserve">- увеличение рождаемости городского населения (на </w:t>
            </w:r>
            <w:r>
              <w:t xml:space="preserve">54,7</w:t>
            </w:r>
            <w:r>
              <w:t xml:space="preserve">%</w:t>
            </w:r>
            <w:r>
              <w:t xml:space="preserve"> за 5 лет)</w:t>
            </w:r>
            <w:r>
              <w:t xml:space="preserve">;</w:t>
            </w:r>
            <w:r/>
          </w:p>
          <w:p>
            <w:pPr>
              <w:jc w:val="both"/>
            </w:pPr>
            <w:r>
              <w:t xml:space="preserve">- равенство численности мужчин и женщин в возрастных группах до 55 лет;</w:t>
            </w:r>
            <w:r/>
          </w:p>
          <w:p>
            <w:pPr>
              <w:jc w:val="both"/>
            </w:pPr>
            <w:r>
              <w:t xml:space="preserve">- снижение уровня детской смертности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высокий удельный вес населения пенсионного и </w:t>
            </w:r>
            <w:r>
              <w:t xml:space="preserve">предпенсионного</w:t>
            </w:r>
            <w:r>
              <w:t xml:space="preserve"> возраста;</w:t>
            </w:r>
            <w:r/>
          </w:p>
          <w:p>
            <w:pPr>
              <w:jc w:val="both"/>
            </w:pPr>
            <w:r>
              <w:t xml:space="preserve">- превышение смертности над рождаемостью;</w:t>
            </w:r>
            <w:r/>
          </w:p>
          <w:p>
            <w:pPr>
              <w:jc w:val="both"/>
            </w:pPr>
            <w:r>
              <w:t xml:space="preserve">- высокий уровень смертности населения, сокращение численности населения, в особенности сельского за </w:t>
            </w:r>
            <w:r>
              <w:t xml:space="preserve">счет естественной убыли населения;</w:t>
            </w:r>
            <w:r/>
          </w:p>
          <w:p>
            <w:pPr>
              <w:jc w:val="both"/>
            </w:pPr>
            <w:r>
              <w:t xml:space="preserve">- относительно низкая доля населения в трудоспособном возрасте;</w:t>
            </w:r>
            <w:r/>
          </w:p>
          <w:p>
            <w:pPr>
              <w:jc w:val="both"/>
            </w:pPr>
            <w:r>
              <w:t xml:space="preserve">- ухудшение качества детского и материнского здоровья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2.2. Уровень жизни населения. Заработная плата, доходы.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отсутствие задолженности по заработной плате в действующих предприятиях;</w:t>
            </w:r>
            <w:r/>
          </w:p>
          <w:p>
            <w:pPr>
              <w:jc w:val="both"/>
            </w:pPr>
            <w:r>
              <w:t xml:space="preserve">- возможность получения дополнительных доходов в натуральной форме от ведения ЛПХ;</w:t>
            </w:r>
            <w:r/>
          </w:p>
          <w:p>
            <w:pPr>
              <w:jc w:val="both"/>
            </w:pPr>
            <w:r>
              <w:t xml:space="preserve">- продолжение тенденции роста уровня зарабо</w:t>
            </w:r>
            <w:r>
              <w:t xml:space="preserve">тной платы</w:t>
            </w:r>
            <w:r/>
          </w:p>
          <w:p>
            <w:pPr>
              <w:jc w:val="both"/>
            </w:pPr>
            <w:r/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существенное отставание уровня зарплаты от </w:t>
            </w:r>
            <w:r>
              <w:t xml:space="preserve">среднеобластного</w:t>
            </w:r>
            <w:r>
              <w:t xml:space="preserve"> показателя;</w:t>
            </w:r>
            <w:r/>
          </w:p>
          <w:p>
            <w:pPr>
              <w:jc w:val="both"/>
            </w:pPr>
            <w:r>
              <w:t xml:space="preserve">- сильная дифференциация заработной платы по видам экономической деятельности;</w:t>
            </w:r>
            <w:r/>
          </w:p>
          <w:p>
            <w:pPr>
              <w:jc w:val="both"/>
            </w:pPr>
            <w:r>
              <w:t xml:space="preserve">- значительное отставание покупательной способности от номинальной заработной платы;</w:t>
            </w:r>
            <w:r/>
          </w:p>
          <w:p>
            <w:pPr>
              <w:jc w:val="both"/>
            </w:pPr>
            <w:r>
              <w:t xml:space="preserve">- снижение покупательной способности пенсии;</w:t>
            </w:r>
            <w:r/>
          </w:p>
          <w:p>
            <w:pPr>
              <w:jc w:val="both"/>
            </w:pPr>
            <w:r>
              <w:t xml:space="preserve">- неразвитость рынков сбыта продукции, произведенной в ЛПХ, низкие закупоч</w:t>
            </w:r>
            <w:r>
              <w:t xml:space="preserve">ные цены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2.3. Социальная защита населения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эффективная работа органов социальной защиты населения;</w:t>
            </w:r>
            <w:r/>
          </w:p>
          <w:p>
            <w:pPr>
              <w:jc w:val="both"/>
            </w:pPr>
            <w:r>
              <w:t xml:space="preserve">- наличие </w:t>
            </w:r>
            <w:r>
              <w:t xml:space="preserve">и реализация </w:t>
            </w:r>
            <w:r>
              <w:t xml:space="preserve">программ по социальной поддержке малообеспеченного населения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относительно низкая заработная плата работников социального обслуживания;</w:t>
            </w:r>
            <w:r/>
          </w:p>
          <w:p>
            <w:pPr>
              <w:jc w:val="both"/>
            </w:pPr>
            <w:r>
              <w:t xml:space="preserve">- значительная доля пенсионеров, малообеспеченных граждан и семей в общей численности населения района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2.4. Жилищно-коммунальная  сфера и благоустройство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</w:t>
            </w:r>
            <w:r>
              <w:t xml:space="preserve">полная</w:t>
            </w:r>
            <w:r>
              <w:t xml:space="preserve"> газификация района;</w:t>
            </w:r>
            <w:r/>
          </w:p>
          <w:p>
            <w:pPr>
              <w:jc w:val="both"/>
            </w:pPr>
            <w:r>
              <w:t xml:space="preserve">- значительное улучшение благоустройства и озеленения населенных пунктов;</w:t>
            </w:r>
            <w:r/>
          </w:p>
          <w:p>
            <w:pPr>
              <w:jc w:val="both"/>
            </w:pPr>
            <w:r>
              <w:t xml:space="preserve">- реализация мероприятий по реформированию ЖКХ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отсутствие системы водоотведения в сельских поселениях;</w:t>
            </w:r>
            <w:r/>
          </w:p>
          <w:p>
            <w:pPr>
              <w:jc w:val="both"/>
            </w:pPr>
            <w:r>
              <w:t xml:space="preserve">- высокий уровень износа объектов ЖКХ;</w:t>
            </w:r>
            <w:r/>
          </w:p>
          <w:p>
            <w:pPr>
              <w:jc w:val="both"/>
            </w:pPr>
            <w:r>
              <w:t xml:space="preserve">- наличие задолженности населения за жилищно-коммунальные услуги;</w:t>
            </w:r>
            <w:r/>
          </w:p>
          <w:p>
            <w:pPr>
              <w:jc w:val="both"/>
            </w:pPr>
            <w:r>
              <w:t xml:space="preserve">- отсутствие альтернативных управляющих компаний  в сфере услуг ЖКХ;</w:t>
            </w:r>
            <w:r/>
          </w:p>
          <w:p>
            <w:pPr>
              <w:jc w:val="both"/>
            </w:pPr>
            <w:r>
              <w:t xml:space="preserve">- относительно высокая степень износа муниципального жилого фонда;</w:t>
            </w:r>
            <w:r/>
          </w:p>
          <w:p>
            <w:pPr>
              <w:jc w:val="both"/>
            </w:pPr>
            <w:r>
              <w:t xml:space="preserve">- отсутствие квалифицированных специалистов для ЖКХ;</w:t>
            </w:r>
            <w:r/>
          </w:p>
          <w:p>
            <w:pPr>
              <w:jc w:val="both"/>
            </w:pPr>
            <w:r>
              <w:t xml:space="preserve">- низкая эффективность работы коммунального хозяйства. Слабое внедрение </w:t>
            </w:r>
            <w:r>
              <w:t xml:space="preserve">энерго</w:t>
            </w:r>
            <w:r>
              <w:t xml:space="preserve">- и ресурсосберегающих технологий;</w:t>
            </w:r>
            <w:r/>
          </w:p>
          <w:p>
            <w:pPr>
              <w:jc w:val="both"/>
            </w:pPr>
            <w:r>
              <w:t xml:space="preserve">- недостаток средств для проведения текущего и капитального ремонта </w:t>
            </w:r>
            <w:r>
              <w:t xml:space="preserve">жилого фонда;</w:t>
            </w:r>
            <w:r/>
          </w:p>
          <w:p>
            <w:pPr>
              <w:jc w:val="both"/>
            </w:pPr>
            <w:r>
              <w:t xml:space="preserve">- уровень обеспеченности дорогами с твердым покрытием ниже </w:t>
            </w:r>
            <w:r>
              <w:t xml:space="preserve">среднеобластного</w:t>
            </w:r>
            <w:r>
              <w:t xml:space="preserve"> показателя;</w:t>
            </w:r>
            <w:r/>
          </w:p>
          <w:p>
            <w:pPr>
              <w:jc w:val="both"/>
            </w:pPr>
            <w:r>
              <w:t xml:space="preserve">- низкий уровень вывоза ТБО в сельских поселениях;</w:t>
            </w:r>
            <w:r/>
          </w:p>
          <w:p>
            <w:pPr>
              <w:jc w:val="both"/>
            </w:pPr>
            <w:r>
              <w:t xml:space="preserve">- недостаток средств для поддержания в надлежащем состоянии дорожной сети и муниципального транспорта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2.5.</w:t>
            </w:r>
            <w:r>
              <w:t xml:space="preserve"> </w:t>
            </w:r>
            <w:r>
              <w:t xml:space="preserve">Т</w:t>
            </w:r>
            <w:r>
              <w:t xml:space="preserve">ранспорт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автомобильное транспортное сообщение с областным центром;</w:t>
            </w:r>
            <w:r/>
          </w:p>
          <w:p>
            <w:pPr>
              <w:jc w:val="both"/>
            </w:pPr>
            <w:r>
              <w:t xml:space="preserve">- наличие внутрирайонных автобусных маршрутов;</w:t>
            </w:r>
            <w:r/>
          </w:p>
          <w:p>
            <w:pPr>
              <w:jc w:val="both"/>
            </w:pPr>
            <w:r>
              <w:t xml:space="preserve">- организация перевозок населе</w:t>
            </w:r>
            <w:r>
              <w:t xml:space="preserve">ния частными такси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недостаточное количество автобусов для перевозки пассажиров;</w:t>
            </w:r>
            <w:r/>
          </w:p>
          <w:p>
            <w:pPr>
              <w:jc w:val="both"/>
            </w:pPr>
            <w:r>
              <w:t xml:space="preserve">- высокий уровень износа автобусного парка пассажирского предприятия;</w:t>
            </w:r>
            <w:r/>
          </w:p>
          <w:p>
            <w:pPr>
              <w:jc w:val="both"/>
            </w:pPr>
            <w:r>
              <w:t xml:space="preserve">- недостаток </w:t>
            </w:r>
            <w:r>
              <w:t xml:space="preserve">внутри</w:t>
            </w:r>
            <w:r>
              <w:t xml:space="preserve">поселковых</w:t>
            </w:r>
            <w:r>
              <w:t xml:space="preserve"> маршрутов;</w:t>
            </w:r>
            <w:r/>
          </w:p>
          <w:p>
            <w:pPr>
              <w:jc w:val="both"/>
            </w:pPr>
            <w:r>
              <w:t xml:space="preserve">- отсутствие транспортного сообщения между отдельными селами муниципального образова</w:t>
            </w:r>
            <w:r>
              <w:t xml:space="preserve">ния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2.6</w:t>
            </w:r>
            <w:r>
              <w:t xml:space="preserve">. Строительство жилья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наличие территорий пригодных для жилищной застройки;</w:t>
            </w:r>
            <w:r/>
          </w:p>
          <w:p>
            <w:pPr>
              <w:jc w:val="both"/>
            </w:pPr>
            <w:r>
              <w:t xml:space="preserve">- увеличение объемов жилищного строительства;</w:t>
            </w:r>
            <w:r/>
          </w:p>
          <w:p>
            <w:pPr>
              <w:jc w:val="both"/>
            </w:pPr>
            <w:r>
              <w:t xml:space="preserve">- наличие спроса на индивидуальное жилищное строительст</w:t>
            </w:r>
            <w:r>
              <w:t xml:space="preserve">во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недостаточное развитие инженерной инфраструктуры </w:t>
            </w:r>
            <w:r>
              <w:t xml:space="preserve">в районах массовой застройки</w:t>
            </w:r>
            <w:r>
              <w:t xml:space="preserve">;</w:t>
            </w:r>
            <w:r/>
          </w:p>
          <w:p>
            <w:pPr>
              <w:jc w:val="both"/>
            </w:pPr>
            <w:r>
              <w:t xml:space="preserve">- очередь на получение льготного жилья;</w:t>
            </w:r>
            <w:r/>
          </w:p>
          <w:p>
            <w:pPr>
              <w:jc w:val="both"/>
            </w:pPr>
            <w:r>
              <w:t xml:space="preserve">- </w:t>
            </w:r>
            <w:r>
              <w:t xml:space="preserve">относительно высокая стоимость строительных материалов;</w:t>
            </w:r>
            <w:r/>
          </w:p>
          <w:p>
            <w:pPr>
              <w:jc w:val="both"/>
            </w:pPr>
            <w:r>
              <w:t xml:space="preserve">- высокая рыночная стоимость жи</w:t>
            </w:r>
            <w:r>
              <w:t xml:space="preserve">лья</w:t>
            </w:r>
            <w:r/>
          </w:p>
        </w:tc>
      </w:tr>
      <w:tr>
        <w:tblPrEx/>
        <w:trPr>
          <w:trHeight w:val="2949"/>
        </w:trPr>
        <w:tc>
          <w:tcPr>
            <w:tcW w:w="1980" w:type="dxa"/>
            <w:textDirection w:val="lrTb"/>
            <w:noWrap w:val="false"/>
          </w:tcPr>
          <w:p>
            <w:pPr>
              <w:ind w:right="-113"/>
            </w:pPr>
            <w:r>
              <w:t xml:space="preserve">2.7</w:t>
            </w:r>
            <w:r>
              <w:t xml:space="preserve">. Здравоохранение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н</w:t>
            </w:r>
            <w:r>
              <w:t xml:space="preserve">аличие и реализация целевых местных, региональных программ и национального проекта «Здоровье», направленных на снижение и предупреждение заболеваемо</w:t>
            </w:r>
            <w:r>
              <w:t xml:space="preserve">сти;</w:t>
            </w:r>
            <w:r/>
          </w:p>
          <w:p>
            <w:pPr>
              <w:jc w:val="both"/>
            </w:pPr>
            <w:r>
              <w:t xml:space="preserve">- с</w:t>
            </w:r>
            <w:r>
              <w:t xml:space="preserve">нижение заболеваемости насе</w:t>
            </w:r>
            <w:r>
              <w:t xml:space="preserve">ления;</w:t>
            </w:r>
            <w:r/>
          </w:p>
          <w:p>
            <w:pPr>
              <w:jc w:val="both"/>
            </w:pPr>
            <w:r>
              <w:t xml:space="preserve">- п</w:t>
            </w:r>
            <w:r>
              <w:t xml:space="preserve">оступление современного медицинского оборудования в ле</w:t>
            </w:r>
            <w:r>
              <w:t xml:space="preserve">чебные учреждения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у</w:t>
            </w:r>
            <w:r>
              <w:t xml:space="preserve">комплектованность врачами (</w:t>
            </w:r>
            <w:r>
              <w:t xml:space="preserve">88,1</w:t>
            </w:r>
            <w:r>
              <w:t xml:space="preserve">%) за счет высокого коэффициента совместительства</w:t>
            </w:r>
            <w:r>
              <w:t xml:space="preserve">;</w:t>
            </w:r>
            <w:r/>
          </w:p>
          <w:p>
            <w:pPr>
              <w:jc w:val="both"/>
            </w:pPr>
            <w:r>
              <w:t xml:space="preserve">- н</w:t>
            </w:r>
            <w:r>
              <w:t xml:space="preserve">едостаточное количество врачей узкой специализации</w:t>
            </w:r>
            <w:r>
              <w:t xml:space="preserve">;</w:t>
            </w:r>
            <w:r/>
          </w:p>
          <w:p>
            <w:pPr>
              <w:jc w:val="both"/>
            </w:pPr>
            <w:r>
              <w:t xml:space="preserve">- в</w:t>
            </w:r>
            <w:r>
              <w:t xml:space="preserve">ысокие затраты бюджета на содержание объектов здравоохране</w:t>
            </w:r>
            <w:r>
              <w:t xml:space="preserve">ния;</w:t>
            </w:r>
            <w:r/>
          </w:p>
          <w:p>
            <w:pPr>
              <w:jc w:val="both"/>
            </w:pPr>
            <w:r>
              <w:t xml:space="preserve">- д</w:t>
            </w:r>
            <w:r>
              <w:t xml:space="preserve">ефицит квалифицированных врачебных кадров</w:t>
            </w:r>
            <w:r>
              <w:t xml:space="preserve">;</w:t>
            </w:r>
            <w:r/>
          </w:p>
          <w:p>
            <w:pPr>
              <w:jc w:val="both"/>
            </w:pPr>
            <w:r>
              <w:t xml:space="preserve">-</w:t>
            </w:r>
            <w:r>
              <w:t xml:space="preserve"> </w:t>
            </w:r>
            <w:r>
              <w:t xml:space="preserve">н</w:t>
            </w:r>
            <w:r>
              <w:t xml:space="preserve">едостаточное материально-техническое обеспечение лечебных учреждений района медицинским оборудованием и организационной техникой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2.8</w:t>
            </w:r>
            <w:r>
              <w:t xml:space="preserve">. Образование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наращивание темпов по модернизации системы образования;</w:t>
            </w:r>
            <w:r/>
          </w:p>
          <w:p>
            <w:pPr>
              <w:jc w:val="both"/>
            </w:pPr>
            <w:r>
              <w:t xml:space="preserve">- высокий уровень квалификации и профессионального опыта школьных учителей;</w:t>
            </w:r>
            <w:r/>
          </w:p>
          <w:p>
            <w:pPr>
              <w:jc w:val="both"/>
            </w:pPr>
            <w:r>
              <w:t xml:space="preserve">- выполнение планов капитального ремонта объектов образования;</w:t>
            </w:r>
            <w:r/>
          </w:p>
          <w:p>
            <w:pPr>
              <w:jc w:val="both"/>
            </w:pPr>
            <w:r>
              <w:t xml:space="preserve">- организация подвоза </w:t>
            </w:r>
            <w:r>
              <w:t xml:space="preserve">учащихся к школам;</w:t>
            </w:r>
            <w:r/>
          </w:p>
          <w:p>
            <w:pPr>
              <w:jc w:val="both"/>
            </w:pPr>
            <w:r>
              <w:t xml:space="preserve">- рост числа школ района имею</w:t>
            </w:r>
            <w:r>
              <w:t xml:space="preserve">щих выход в Интернет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слабое наполнение образовательных учреждений;</w:t>
            </w:r>
            <w:r/>
          </w:p>
          <w:p>
            <w:pPr>
              <w:jc w:val="both"/>
            </w:pPr>
            <w:r>
              <w:t xml:space="preserve">- </w:t>
            </w:r>
            <w:r>
              <w:t xml:space="preserve">малопрофильность</w:t>
            </w:r>
            <w:r>
              <w:t xml:space="preserve"> в сфере начального профессионального образования;</w:t>
            </w:r>
            <w:r/>
          </w:p>
          <w:p>
            <w:pPr>
              <w:jc w:val="both"/>
            </w:pPr>
            <w:r>
              <w:t xml:space="preserve">- недостаточное развитие материально-технической базы;</w:t>
            </w:r>
            <w:r/>
          </w:p>
          <w:p>
            <w:pPr>
              <w:jc w:val="both"/>
            </w:pPr>
            <w:r>
              <w:t xml:space="preserve">- рост среднего возраста учителей, увеличение числа учителей пенсионного возраста;</w:t>
            </w:r>
            <w:r/>
          </w:p>
          <w:p>
            <w:pPr>
              <w:jc w:val="both"/>
            </w:pPr>
            <w:r>
              <w:t xml:space="preserve">- недостаточный приток молодых кадров;</w:t>
            </w:r>
            <w:r/>
          </w:p>
          <w:p>
            <w:pPr>
              <w:jc w:val="both"/>
            </w:pPr>
            <w:r>
              <w:t xml:space="preserve">- низкая степень учителей с высшей </w:t>
            </w:r>
            <w:r>
              <w:t xml:space="preserve">квалификационной категорией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2.9</w:t>
            </w:r>
            <w:r>
              <w:t xml:space="preserve">. Культура, физкультура и спорт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наличие материально-технической базы учреждений культуры, физкультуры и спорта;</w:t>
            </w:r>
            <w:r/>
          </w:p>
          <w:p>
            <w:pPr>
              <w:jc w:val="both"/>
            </w:pPr>
            <w:r>
              <w:t xml:space="preserve">- наличие исторических памятников;</w:t>
            </w:r>
            <w:r/>
          </w:p>
          <w:p>
            <w:pPr>
              <w:jc w:val="both"/>
            </w:pPr>
            <w:r>
              <w:t xml:space="preserve">- сохранение и развитие национальных традиций территории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недостаточное количество спортивных сооружений в сельских населенных пунктах;</w:t>
            </w:r>
            <w:r/>
          </w:p>
          <w:p>
            <w:pPr>
              <w:jc w:val="both"/>
            </w:pPr>
            <w:r>
              <w:t xml:space="preserve">- недостаточное количество обустроенных мест отдыха граждан (парковых зон);</w:t>
            </w:r>
            <w:r/>
          </w:p>
          <w:p>
            <w:pPr>
              <w:jc w:val="both"/>
            </w:pPr>
            <w:r>
              <w:t xml:space="preserve">- низкая доля населения, регулярно занимающаяся физкультурой и спортом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pPr>
              <w:ind w:right="-113"/>
            </w:pPr>
            <w:r>
              <w:t xml:space="preserve">2.10</w:t>
            </w:r>
            <w:r>
              <w:t xml:space="preserve">. Информационные ресурсы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наличие районной газеты «</w:t>
            </w:r>
            <w:r>
              <w:t xml:space="preserve">Приосколье</w:t>
            </w:r>
            <w:r>
              <w:t xml:space="preserve">»;</w:t>
            </w:r>
            <w:r/>
          </w:p>
          <w:p>
            <w:pPr>
              <w:jc w:val="both"/>
            </w:pPr>
            <w:r>
              <w:t xml:space="preserve">- активное использование предприятиями и организациями муниципального образования новых информационных и коммуникационных технологий</w:t>
            </w:r>
            <w:r>
              <w:t xml:space="preserve">;</w:t>
            </w:r>
            <w:r/>
          </w:p>
          <w:p>
            <w:pPr>
              <w:jc w:val="both"/>
            </w:pPr>
            <w:r>
              <w:t xml:space="preserve">- </w:t>
            </w:r>
            <w:r>
              <w:t xml:space="preserve">наличие</w:t>
            </w:r>
            <w:r>
              <w:t xml:space="preserve"> сайта муниципального образования в Интернете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низкий уровень телефонизации сельских населенных пунктов;</w:t>
            </w:r>
            <w:r/>
          </w:p>
          <w:p>
            <w:pPr>
              <w:jc w:val="both"/>
            </w:pPr>
            <w:r>
              <w:t xml:space="preserve">- слабо развиты услуги «Интернет-кафе»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pPr>
              <w:ind w:right="-113"/>
            </w:pPr>
            <w:r>
              <w:t xml:space="preserve">2.11</w:t>
            </w:r>
            <w:r>
              <w:t xml:space="preserve">. </w:t>
            </w:r>
            <w:r>
              <w:t xml:space="preserve">Развитие </w:t>
            </w:r>
            <w:r>
              <w:t xml:space="preserve">п</w:t>
            </w:r>
            <w:r>
              <w:t xml:space="preserve">отребительск</w:t>
            </w:r>
            <w:r>
              <w:t xml:space="preserve">ого</w:t>
            </w:r>
            <w:r>
              <w:t xml:space="preserve">рынк</w:t>
            </w:r>
            <w:r>
              <w:t xml:space="preserve">а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</w:t>
            </w:r>
            <w:r>
              <w:t xml:space="preserve">достаточно высокое количество </w:t>
            </w:r>
            <w:r>
              <w:t xml:space="preserve">торговых </w:t>
            </w:r>
            <w:r>
              <w:t xml:space="preserve">предприятий</w:t>
            </w:r>
            <w:r>
              <w:t xml:space="preserve"> потребительской кооперации и индивидуальных предпринимателей;</w:t>
            </w:r>
            <w:r/>
          </w:p>
          <w:p>
            <w:pPr>
              <w:jc w:val="both"/>
            </w:pPr>
            <w:r>
              <w:t xml:space="preserve">- наличие и реализация  программ по торговому и бытовому обслуживанию населения, по защите прав потре</w:t>
            </w:r>
            <w:r>
              <w:t xml:space="preserve">бителей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недостаток предприятий торгового и бытового обслуживания в отдаленных населенных пунктах сельской местности;</w:t>
            </w:r>
            <w:r/>
          </w:p>
          <w:p>
            <w:pPr>
              <w:jc w:val="both"/>
            </w:pPr>
            <w:r>
              <w:t xml:space="preserve">- низкий уровень оборота розничной тор</w:t>
            </w:r>
            <w:r>
              <w:t xml:space="preserve">говли на душу населения (34</w:t>
            </w:r>
            <w:r>
              <w:t xml:space="preserve">%</w:t>
            </w:r>
            <w:r>
              <w:t xml:space="preserve"> от областного уровня) и оборота общественно</w:t>
            </w:r>
            <w:r>
              <w:t xml:space="preserve">го питания на душу населения (40</w:t>
            </w:r>
            <w:r>
              <w:t xml:space="preserve">%</w:t>
            </w:r>
            <w:r>
              <w:t xml:space="preserve"> от областного уровня)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2.12</w:t>
            </w:r>
            <w:r>
              <w:t xml:space="preserve">. Борьба с преступностью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интенси</w:t>
            </w:r>
            <w:r>
              <w:t xml:space="preserve">вность</w:t>
            </w:r>
            <w:r>
              <w:t xml:space="preserve"> оперативно-профилактической  работы, борьбы с незаконным оборотом наркотиков, самогоноварением, работы по предупреждению безнадзорности и правонарушений среди несовершеннолетних;</w:t>
            </w:r>
            <w:r/>
          </w:p>
          <w:p>
            <w:pPr>
              <w:jc w:val="both"/>
            </w:pPr>
            <w:r>
              <w:t xml:space="preserve">- сокращение количества тяжких и особо тяжких преступлений;</w:t>
            </w:r>
            <w:r/>
          </w:p>
          <w:p>
            <w:pPr>
              <w:jc w:val="both"/>
            </w:pPr>
            <w:r>
              <w:t xml:space="preserve">- уровень преступности ниже </w:t>
            </w:r>
            <w:r>
              <w:t xml:space="preserve">среднеобластного</w:t>
            </w:r>
            <w:r>
              <w:t xml:space="preserve"> показате</w:t>
            </w:r>
            <w:r>
              <w:t xml:space="preserve">ля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недостаточная материально-техническая база </w:t>
            </w:r>
            <w:r>
              <w:t xml:space="preserve">отдела </w:t>
            </w:r>
            <w:r>
              <w:t xml:space="preserve">органов внутренних дел;</w:t>
            </w:r>
            <w:r/>
          </w:p>
          <w:p>
            <w:pPr>
              <w:jc w:val="both"/>
            </w:pPr>
            <w:r>
              <w:t xml:space="preserve">- высокий уровень смертности от дорожно-транспортных происше</w:t>
            </w:r>
            <w:r>
              <w:t xml:space="preserve">ствий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2.13</w:t>
            </w:r>
            <w:r>
              <w:t xml:space="preserve">. Социальная </w:t>
            </w:r>
            <w:r>
              <w:t xml:space="preserve">инфраструктура поселений </w:t>
            </w:r>
            <w:r>
              <w:t xml:space="preserve">в МО «Чернянский район»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наличие основных </w:t>
            </w:r>
            <w:r>
              <w:t xml:space="preserve">элементов социальной инфраструктуры практически во всех поселениях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отсутствие </w:t>
            </w:r>
            <w:r>
              <w:t xml:space="preserve">бань и храмов во многих</w:t>
            </w:r>
            <w:r>
              <w:t xml:space="preserve"> </w:t>
            </w:r>
            <w:r>
              <w:t xml:space="preserve">сельских по</w:t>
            </w:r>
            <w:r>
              <w:t xml:space="preserve">селениях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2.1</w:t>
            </w:r>
            <w:r>
              <w:t xml:space="preserve">4</w:t>
            </w:r>
            <w:r>
              <w:t xml:space="preserve">. Состояние окружающей среды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благоприятная экологическая об</w:t>
            </w:r>
            <w:r>
              <w:t xml:space="preserve">становка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недостаточное количество очистных сооружений;</w:t>
            </w:r>
            <w:r/>
          </w:p>
          <w:p>
            <w:pPr>
              <w:jc w:val="both"/>
            </w:pPr>
            <w:r>
              <w:t xml:space="preserve">- недостаток спецмашин и контейнеров для сбора и вывоза твердых бытовых отходов;</w:t>
            </w:r>
            <w:r/>
          </w:p>
          <w:p>
            <w:pPr>
              <w:jc w:val="both"/>
            </w:pPr>
            <w:r>
              <w:t xml:space="preserve">- отсутствие предприятий по утилизации твердых бытовых отходов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2.1</w:t>
            </w:r>
            <w:r>
              <w:t xml:space="preserve">5</w:t>
            </w:r>
            <w:r>
              <w:t xml:space="preserve">. Общественно-политическая жизнь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активное участие партий, общественных объединений в политической жизни муниципального образования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низкий уровень политической активности населения;</w:t>
            </w:r>
            <w:r/>
          </w:p>
          <w:p>
            <w:pPr>
              <w:jc w:val="both"/>
            </w:pPr>
            <w:r>
              <w:t xml:space="preserve">- низкая инициатива и слабое участие жителей в планировании и управлении в муниципальном образовании;</w:t>
            </w:r>
            <w:r/>
          </w:p>
          <w:p>
            <w:pPr>
              <w:jc w:val="both"/>
            </w:pPr>
            <w:r>
              <w:t xml:space="preserve">- низкая активность общественных организаций в делах, связанных с развитием рай</w:t>
            </w:r>
            <w:r>
              <w:t xml:space="preserve">она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2.1</w:t>
            </w:r>
            <w:r>
              <w:t xml:space="preserve">6</w:t>
            </w:r>
            <w:r>
              <w:t xml:space="preserve">. Молодежная политика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реализация районной и областной программ «Молодость </w:t>
            </w:r>
            <w:r>
              <w:t xml:space="preserve">Белгород</w:t>
            </w:r>
            <w:r>
              <w:t xml:space="preserve">чины</w:t>
            </w:r>
            <w:r>
              <w:t xml:space="preserve">»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недостаточно развитый досуг для молодежи</w:t>
            </w:r>
            <w:r/>
          </w:p>
        </w:tc>
      </w:tr>
      <w:tr>
        <w:tblPrEx/>
        <w:trPr/>
        <w:tc>
          <w:tcPr>
            <w:gridSpan w:val="3"/>
            <w:tcW w:w="972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3. Экономический потенциал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3.1. Промыш</w:t>
            </w:r>
            <w:r>
              <w:t xml:space="preserve">ленное производство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рост промышленного производства;</w:t>
            </w:r>
            <w:r/>
          </w:p>
          <w:p>
            <w:pPr>
              <w:jc w:val="both"/>
            </w:pPr>
            <w:r>
              <w:t xml:space="preserve">- наличие крупных и средних стабильно работающих промышленных предприятий;</w:t>
            </w:r>
            <w:r/>
          </w:p>
          <w:p>
            <w:pPr>
              <w:jc w:val="both"/>
            </w:pPr>
            <w:r>
              <w:t xml:space="preserve">- наличие предприятий, перерабатывающих сельскохозяйственное сырье;</w:t>
            </w:r>
            <w:r/>
          </w:p>
          <w:p>
            <w:pPr>
              <w:jc w:val="both"/>
            </w:pPr>
            <w:r>
              <w:t xml:space="preserve">- высокое качество и конкурентоспособность производимой продукции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высокая степень износа основных фондов предприятий;</w:t>
            </w:r>
            <w:r/>
          </w:p>
          <w:p>
            <w:pPr>
              <w:jc w:val="both"/>
            </w:pPr>
            <w:r>
              <w:t xml:space="preserve">- необходимость проведения модернизации;</w:t>
            </w:r>
            <w:r/>
          </w:p>
          <w:p>
            <w:pPr>
              <w:jc w:val="both"/>
            </w:pPr>
            <w:r>
              <w:t xml:space="preserve">- низкая инновационная активность;</w:t>
            </w:r>
            <w:r/>
          </w:p>
          <w:p>
            <w:pPr>
              <w:jc w:val="both"/>
            </w:pPr>
            <w:r>
              <w:t xml:space="preserve">- неполное использование возможностей существующих основных производственных фондов;</w:t>
            </w:r>
            <w:r/>
          </w:p>
          <w:p>
            <w:pPr>
              <w:jc w:val="both"/>
            </w:pPr>
            <w:r>
              <w:t xml:space="preserve">- наличие убыточных предпри</w:t>
            </w:r>
            <w:r>
              <w:t xml:space="preserve">ятий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3.2. Сельское хозяйство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наличие крупных животноводческих комплексов;</w:t>
            </w:r>
            <w:r/>
          </w:p>
          <w:p>
            <w:pPr>
              <w:jc w:val="both"/>
            </w:pPr>
            <w:r>
              <w:t xml:space="preserve">- развитие растениеводства;</w:t>
            </w:r>
            <w:r/>
          </w:p>
          <w:p>
            <w:pPr>
              <w:jc w:val="both"/>
            </w:pPr>
            <w:r>
              <w:t xml:space="preserve">- участие в государственных программах поддержки сельхозпредприятий;</w:t>
            </w:r>
            <w:r/>
          </w:p>
          <w:p>
            <w:pPr>
              <w:jc w:val="both"/>
            </w:pPr>
            <w:r>
              <w:t xml:space="preserve">- развитие малых форм хозяйствования в сельском хозяйстве;</w:t>
            </w:r>
            <w:r/>
          </w:p>
          <w:p>
            <w:pPr>
              <w:jc w:val="both"/>
            </w:pPr>
            <w:r>
              <w:t xml:space="preserve">- поддержка крестьянских (фермерских) хозяйств и личных подворий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</w:t>
            </w:r>
            <w:r>
              <w:t xml:space="preserve">диспаритет</w:t>
            </w:r>
            <w:r>
              <w:t xml:space="preserve"> цен на продукцию, реализуемую сельхозпроизводителями и на приобретаемые ими материально-технические ресурсы;</w:t>
            </w:r>
            <w:r/>
          </w:p>
          <w:p>
            <w:pPr>
              <w:jc w:val="both"/>
            </w:pPr>
            <w:r>
              <w:t xml:space="preserve">- отсутствие организованной системы сбыта</w:t>
            </w:r>
            <w:r>
              <w:t xml:space="preserve"> и переработки</w:t>
            </w:r>
            <w:r>
              <w:t xml:space="preserve"> продукции, произведенной в ЛПХ;</w:t>
            </w:r>
            <w:r/>
          </w:p>
          <w:p>
            <w:pPr>
              <w:jc w:val="both"/>
            </w:pPr>
            <w:r>
              <w:t xml:space="preserve">- необходимость проведения модернизации;</w:t>
            </w:r>
            <w:r/>
          </w:p>
          <w:p>
            <w:pPr>
              <w:jc w:val="both"/>
            </w:pPr>
            <w:r>
              <w:t xml:space="preserve">- нестабильное финансово-</w:t>
            </w:r>
            <w:r>
              <w:t xml:space="preserve">экономичес</w:t>
            </w:r>
            <w:r>
              <w:t xml:space="preserve">-</w:t>
            </w:r>
            <w:r>
              <w:t xml:space="preserve">кое положение ряда сельскохозяйственных предприятий;</w:t>
            </w:r>
            <w:r/>
          </w:p>
          <w:p>
            <w:pPr>
              <w:jc w:val="both"/>
            </w:pPr>
            <w:r>
              <w:t xml:space="preserve">- наличие убыточных предпри</w:t>
            </w:r>
            <w:r>
              <w:t xml:space="preserve">ятий</w:t>
            </w:r>
            <w:r/>
          </w:p>
        </w:tc>
      </w:tr>
      <w:tr>
        <w:tblPrEx/>
        <w:trPr>
          <w:trHeight w:val="2854"/>
        </w:trPr>
        <w:tc>
          <w:tcPr>
            <w:tcW w:w="1980" w:type="dxa"/>
            <w:textDirection w:val="lrTb"/>
            <w:noWrap w:val="false"/>
          </w:tcPr>
          <w:p>
            <w:r>
              <w:t xml:space="preserve">3.3. Предпринимательская деятельность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рост количества субъектов малого предпринимательства;</w:t>
            </w:r>
            <w:r/>
          </w:p>
          <w:p>
            <w:pPr>
              <w:jc w:val="both"/>
            </w:pPr>
            <w:r>
              <w:t xml:space="preserve">- увеличение числа занятых в малом бизнесе;</w:t>
            </w:r>
            <w:r/>
          </w:p>
          <w:p>
            <w:pPr>
              <w:jc w:val="both"/>
            </w:pPr>
            <w:r>
              <w:t xml:space="preserve">- участие в государственных программах поддержки малого предпринимательства, в том числе фермерства</w:t>
            </w:r>
            <w:r/>
          </w:p>
          <w:p>
            <w:pPr>
              <w:jc w:val="both"/>
            </w:pPr>
            <w:r/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недостаточное развитие отраслевой структуры малого бизнеса;</w:t>
            </w:r>
            <w:r/>
          </w:p>
          <w:p>
            <w:pPr>
              <w:jc w:val="both"/>
            </w:pPr>
            <w:r>
              <w:t xml:space="preserve">- недостаток собственных финансовых средств малых предприятий, сдерживающей обновление основных фондов и внедрение новых технологий;</w:t>
            </w:r>
            <w:r/>
          </w:p>
          <w:p>
            <w:pPr>
              <w:jc w:val="both"/>
            </w:pPr>
            <w:r>
              <w:t xml:space="preserve">- низкая доля занятых в малом бизнесе;</w:t>
            </w:r>
            <w:r/>
          </w:p>
          <w:p>
            <w:pPr>
              <w:jc w:val="both"/>
            </w:pPr>
            <w:r>
              <w:t xml:space="preserve">- недостаток знаний в области планирования, маркетинга и управления бизне</w:t>
            </w:r>
            <w:r>
              <w:t xml:space="preserve">сом</w:t>
            </w:r>
            <w:r/>
          </w:p>
        </w:tc>
      </w:tr>
      <w:tr>
        <w:tblPrEx/>
        <w:trPr/>
        <w:tc>
          <w:tcPr>
            <w:gridSpan w:val="3"/>
            <w:tcW w:w="9720" w:type="dxa"/>
            <w:textDirection w:val="lrTb"/>
            <w:noWrap w:val="false"/>
          </w:tcPr>
          <w:p>
            <w:pPr>
              <w:jc w:val="center"/>
            </w:pPr>
            <w:r>
              <w:rPr>
                <w:b/>
              </w:rPr>
              <w:t xml:space="preserve">4</w:t>
            </w:r>
            <w:r>
              <w:rPr>
                <w:b/>
              </w:rPr>
              <w:t xml:space="preserve">. Инвестиционный потенциал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pPr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благоприятное географическое положение;</w:t>
            </w:r>
            <w:r/>
          </w:p>
          <w:p>
            <w:pPr>
              <w:jc w:val="both"/>
            </w:pPr>
            <w:r>
              <w:t xml:space="preserve">- наличие транспортной и инженерной инфраструктуры;</w:t>
            </w:r>
            <w:r/>
          </w:p>
          <w:p>
            <w:pPr>
              <w:jc w:val="both"/>
            </w:pPr>
            <w:r>
              <w:t xml:space="preserve">- наличие земельных ресурсов и свободных площадок  для инвестирования и создания сельскохозяйственных, промышленных и иных про</w:t>
            </w:r>
            <w:r>
              <w:t xml:space="preserve">изводств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отсутствие документа, содержа</w:t>
            </w:r>
            <w:r>
              <w:t xml:space="preserve">щего</w:t>
            </w:r>
            <w:r>
              <w:t xml:space="preserve"> комплекс мероприятий по повышению инвестиционной привлекательности муниципального образования и привлечению инвестиций;</w:t>
            </w:r>
            <w:r/>
          </w:p>
          <w:p>
            <w:pPr>
              <w:jc w:val="both"/>
            </w:pPr>
            <w:r>
              <w:t xml:space="preserve">- недостаточная инвестиционная активность </w:t>
            </w:r>
            <w:r>
              <w:t xml:space="preserve">хозяйствующих </w:t>
            </w:r>
            <w:r>
              <w:t xml:space="preserve">субъектов;</w:t>
            </w:r>
            <w:r/>
          </w:p>
          <w:p>
            <w:pPr>
              <w:jc w:val="both"/>
            </w:pPr>
            <w:r>
              <w:t xml:space="preserve">- отсутствие четкого правового поля для инвесторов;</w:t>
            </w:r>
            <w:r/>
          </w:p>
          <w:p>
            <w:pPr>
              <w:jc w:val="both"/>
            </w:pPr>
            <w:r>
              <w:t xml:space="preserve">- отсутствие </w:t>
            </w:r>
            <w:r>
              <w:rPr>
                <w:lang w:val="en-US"/>
              </w:rPr>
              <w:t xml:space="preserve">PR</w:t>
            </w:r>
            <w:r>
              <w:t xml:space="preserve">-компании по созданию </w:t>
            </w:r>
            <w:r>
              <w:t xml:space="preserve">инвестиционнопривлекательного</w:t>
            </w:r>
            <w:r>
              <w:t xml:space="preserve"> имиджа муниципального образо</w:t>
            </w:r>
            <w:r>
              <w:t xml:space="preserve">вания</w:t>
            </w:r>
            <w:r/>
          </w:p>
        </w:tc>
      </w:tr>
      <w:tr>
        <w:tblPrEx/>
        <w:trPr/>
        <w:tc>
          <w:tcPr>
            <w:gridSpan w:val="3"/>
            <w:tcW w:w="972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5</w:t>
            </w:r>
            <w:r>
              <w:rPr>
                <w:b/>
              </w:rPr>
              <w:t xml:space="preserve">. Кадровый потенциал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5</w:t>
            </w:r>
            <w:r>
              <w:t xml:space="preserve">.1. </w:t>
            </w:r>
            <w:r>
              <w:t xml:space="preserve">Занятость населения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наличие потенциально свободной рабочей силы;</w:t>
            </w:r>
            <w:r/>
          </w:p>
          <w:p>
            <w:pPr>
              <w:jc w:val="both"/>
            </w:pPr>
            <w:r>
              <w:t xml:space="preserve">- высокая экономическая активность большей части населения;</w:t>
            </w:r>
            <w:r/>
          </w:p>
          <w:p>
            <w:pPr>
              <w:jc w:val="both"/>
            </w:pPr>
            <w:r>
              <w:t xml:space="preserve">- реализация </w:t>
            </w:r>
            <w:r>
              <w:rPr>
                <w:color w:val="000000"/>
              </w:rPr>
              <w:t xml:space="preserve">Программы стабилизации ситуации на рынке труда Белгородской области в 2010 году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недостаток рабочей силы в сельской местности;</w:t>
            </w:r>
            <w:r/>
          </w:p>
          <w:p>
            <w:pPr>
              <w:jc w:val="both"/>
            </w:pPr>
            <w:r>
              <w:t xml:space="preserve">- отсутствие квалифицированных кадров современных рабочих профессий;</w:t>
            </w:r>
            <w:r/>
          </w:p>
          <w:p>
            <w:pPr>
              <w:jc w:val="both"/>
            </w:pPr>
            <w:r>
              <w:t xml:space="preserve">- профессиональное квалификационное несоответствие между требованиями работодателей и качеством рабочей силы;</w:t>
            </w:r>
            <w:r/>
          </w:p>
          <w:p>
            <w:pPr>
              <w:jc w:val="both"/>
            </w:pPr>
            <w:r>
              <w:t xml:space="preserve">- нехватка квалифицированных управленческих кадров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r>
              <w:t xml:space="preserve">5</w:t>
            </w:r>
            <w:r>
              <w:t xml:space="preserve">.2. Система управления муниципального образования</w:t>
            </w:r>
            <w:r/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организационная структура, в основном, соответствует задачам и полномочиям, определенным законодательством и Уставом муниципального образования;</w:t>
            </w:r>
            <w:r/>
          </w:p>
          <w:p>
            <w:pPr>
              <w:jc w:val="both"/>
            </w:pPr>
            <w:r>
              <w:t xml:space="preserve">- стремление к научно-обоснованному управлению муниципального образования;</w:t>
            </w:r>
            <w:r/>
          </w:p>
          <w:p>
            <w:pPr>
              <w:jc w:val="both"/>
            </w:pPr>
            <w:r>
              <w:t xml:space="preserve">- проведение разъяснительной работы по реформированию местного самоуправ</w:t>
            </w:r>
            <w:r>
              <w:t xml:space="preserve">ления</w:t>
            </w:r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недостаточное нормативно-правовое обеспечение управления на территории муниципального образования;</w:t>
            </w:r>
            <w:r/>
          </w:p>
          <w:p>
            <w:pPr>
              <w:jc w:val="both"/>
            </w:pPr>
            <w:r>
              <w:t xml:space="preserve">- отсутствие системы, обеспечивающей привлечение общественности и деловых кругов к решению проблем развития;</w:t>
            </w:r>
            <w:r/>
          </w:p>
          <w:p>
            <w:pPr>
              <w:jc w:val="both"/>
            </w:pPr>
            <w:r>
              <w:t xml:space="preserve">- организационная структура носит функционально-отраслевой, а не функционально-проблемный характер;</w:t>
            </w:r>
            <w:r/>
          </w:p>
          <w:p>
            <w:pPr>
              <w:jc w:val="both"/>
            </w:pPr>
            <w:r>
              <w:t xml:space="preserve">- нехватка квалифицированных управленческих кадров в сельских поселе</w:t>
            </w:r>
            <w:r>
              <w:t xml:space="preserve">ниях</w:t>
            </w:r>
            <w:r/>
          </w:p>
        </w:tc>
      </w:tr>
      <w:tr>
        <w:tblPrEx/>
        <w:trPr/>
        <w:tc>
          <w:tcPr>
            <w:gridSpan w:val="3"/>
            <w:tcW w:w="9720" w:type="dxa"/>
            <w:textDirection w:val="lrTb"/>
            <w:noWrap w:val="false"/>
          </w:tcPr>
          <w:p>
            <w:pPr>
              <w:jc w:val="center"/>
            </w:pPr>
            <w:r>
              <w:rPr>
                <w:b/>
              </w:rPr>
              <w:t xml:space="preserve">6</w:t>
            </w:r>
            <w:r>
              <w:rPr>
                <w:b/>
              </w:rPr>
              <w:t xml:space="preserve">. Бюджетный потенциал</w:t>
            </w:r>
            <w:r/>
          </w:p>
        </w:tc>
      </w:tr>
      <w:tr>
        <w:tblPrEx/>
        <w:trPr/>
        <w:tc>
          <w:tcPr>
            <w:tcW w:w="1980" w:type="dxa"/>
            <w:textDirection w:val="lrTb"/>
            <w:noWrap w:val="false"/>
          </w:tcPr>
          <w:p>
            <w:pPr>
              <w:rPr>
                <w:b/>
              </w:rPr>
            </w:pPr>
            <w:r>
              <w:rPr>
                <w:b/>
              </w:rPr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3240" w:type="dxa"/>
            <w:textDirection w:val="lrTb"/>
            <w:noWrap w:val="false"/>
          </w:tcPr>
          <w:p>
            <w:pPr>
              <w:jc w:val="both"/>
            </w:pPr>
            <w:r>
              <w:t xml:space="preserve">- рост бюджетной обеспеченности на душу населения;</w:t>
            </w:r>
            <w:r/>
          </w:p>
          <w:p>
            <w:pPr>
              <w:jc w:val="both"/>
            </w:pPr>
            <w:r>
              <w:t xml:space="preserve">- рост налоговых поступлений</w:t>
            </w:r>
            <w:r>
              <w:t xml:space="preserve">, в том числе от малого бизнеса</w:t>
            </w:r>
            <w:r/>
          </w:p>
          <w:p>
            <w:pPr>
              <w:jc w:val="both"/>
            </w:pPr>
            <w:r/>
            <w:r/>
          </w:p>
        </w:tc>
        <w:tc>
          <w:tcPr>
            <w:tcW w:w="4500" w:type="dxa"/>
            <w:textDirection w:val="lrTb"/>
            <w:noWrap w:val="false"/>
          </w:tcPr>
          <w:p>
            <w:pPr>
              <w:jc w:val="both"/>
            </w:pPr>
            <w:r>
              <w:t xml:space="preserve">- низкая эффективность использования муниципальной собственности;</w:t>
            </w:r>
            <w:r/>
          </w:p>
          <w:p>
            <w:pPr>
              <w:jc w:val="both"/>
            </w:pPr>
            <w:r>
              <w:t xml:space="preserve">- сложившаяся система распределения налоговых поступлений между бюджетами разных уровней сокращает возможности муниципального образования в решении проблем местного уровня</w:t>
            </w:r>
            <w:r/>
          </w:p>
        </w:tc>
      </w:tr>
    </w:tbl>
    <w:p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следующем этапе </w:t>
      </w:r>
      <w:r>
        <w:rPr>
          <w:sz w:val="28"/>
          <w:szCs w:val="28"/>
          <w:lang w:val="en-US"/>
        </w:rPr>
        <w:t xml:space="preserve">SWOT</w:t>
      </w:r>
      <w:r>
        <w:rPr>
          <w:sz w:val="28"/>
          <w:szCs w:val="28"/>
        </w:rPr>
        <w:t xml:space="preserve">-анализа определены возможности социально-экономического развития муниципального образования</w:t>
      </w:r>
      <w:r>
        <w:rPr>
          <w:sz w:val="28"/>
          <w:szCs w:val="28"/>
        </w:rPr>
        <w:t xml:space="preserve">, а также угрозы, которые могут препятствовать дальнейшему развитию.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5</w:t>
      </w:r>
      <w:r>
        <w:rPr>
          <w:i/>
          <w:sz w:val="28"/>
          <w:szCs w:val="28"/>
        </w:rPr>
        <w:t xml:space="preserve">3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Возможности и угрозы развития муниципального </w:t>
      </w:r>
      <w:r>
        <w:rPr>
          <w:b/>
          <w:sz w:val="28"/>
          <w:szCs w:val="28"/>
        </w:rPr>
        <w:t xml:space="preserve">образования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567"/>
        <w:jc w:val="center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tbl>
      <w:tblPr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5220"/>
        <w:gridCol w:w="4347"/>
      </w:tblGrid>
      <w:tr>
        <w:tblPrEx/>
        <w:trPr>
          <w:tblHeader/>
        </w:trPr>
        <w:tc>
          <w:tcPr>
            <w:tcW w:w="5220" w:type="dxa"/>
            <w:textDirection w:val="lrTb"/>
            <w:noWrap w:val="false"/>
          </w:tcPr>
          <w:p>
            <w:pPr>
              <w:ind w:firstLine="567"/>
              <w:jc w:val="center"/>
              <w:rPr>
                <w:b/>
              </w:rPr>
            </w:pPr>
            <w:r>
              <w:rPr>
                <w:b/>
              </w:rPr>
              <w:t xml:space="preserve">ВОЗМОЖНОСТИ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347" w:type="dxa"/>
            <w:textDirection w:val="lrTb"/>
            <w:noWrap w:val="false"/>
          </w:tcPr>
          <w:p>
            <w:pPr>
              <w:ind w:firstLine="567"/>
              <w:jc w:val="center"/>
              <w:rPr>
                <w:b/>
              </w:rPr>
            </w:pPr>
            <w:r>
              <w:rPr>
                <w:b/>
              </w:rPr>
              <w:t xml:space="preserve">УГРОЗЫ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gridSpan w:val="2"/>
            <w:tcW w:w="9567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Экономические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5220" w:type="dxa"/>
            <w:textDirection w:val="lrTb"/>
            <w:noWrap w:val="false"/>
          </w:tcPr>
          <w:p>
            <w:pPr>
              <w:ind w:firstLine="432"/>
              <w:jc w:val="both"/>
            </w:pPr>
            <w:r>
              <w:t xml:space="preserve">- повышение роли муниципального образования в социально-экономическом развитии области;</w:t>
            </w:r>
            <w:r/>
          </w:p>
          <w:p>
            <w:pPr>
              <w:ind w:firstLine="432"/>
              <w:jc w:val="both"/>
            </w:pPr>
            <w:r>
              <w:t xml:space="preserve">- привлечение инвестиций в расширение, техническое перевооружение существующих производств, создание новых производств, новых видов продукции, новых брендов, внедрение инноваций;</w:t>
            </w:r>
            <w:r/>
          </w:p>
          <w:p>
            <w:pPr>
              <w:ind w:firstLine="432"/>
              <w:jc w:val="both"/>
            </w:pPr>
            <w:r>
              <w:t xml:space="preserve">- увеличение объемов промышленного и сельскохозяйственного производства;</w:t>
            </w:r>
            <w:r/>
          </w:p>
          <w:p>
            <w:pPr>
              <w:ind w:firstLine="432"/>
              <w:jc w:val="both"/>
            </w:pPr>
            <w:r>
              <w:t xml:space="preserve">- развитие малого бизнеса в сферах, не занятых средним и крупным бизнесом;</w:t>
            </w:r>
            <w:r/>
          </w:p>
          <w:p>
            <w:pPr>
              <w:ind w:firstLine="432"/>
              <w:jc w:val="both"/>
            </w:pPr>
            <w:r>
              <w:t xml:space="preserve">- расширение сферы сбыта и повышение качества производимой продукции;</w:t>
            </w:r>
            <w:r/>
          </w:p>
          <w:p>
            <w:pPr>
              <w:ind w:firstLine="432"/>
              <w:jc w:val="both"/>
            </w:pPr>
            <w:r>
              <w:t xml:space="preserve">- развитие транспортной инфраструктуры;</w:t>
            </w:r>
            <w:r/>
          </w:p>
          <w:p>
            <w:pPr>
              <w:ind w:firstLine="432"/>
              <w:jc w:val="both"/>
            </w:pPr>
            <w:r>
              <w:t xml:space="preserve">- сотрудничество органов местного самоуправления и бизнес-сообщества в целях развития экономики;</w:t>
            </w:r>
            <w:r/>
          </w:p>
          <w:p>
            <w:pPr>
              <w:ind w:firstLine="432"/>
              <w:jc w:val="both"/>
            </w:pPr>
            <w:r>
              <w:t xml:space="preserve">- эффективное функционирование системы «Бюджет, ориентированный на результат», увеличение доли налоговых и неналоговых доходов местного бюджета, минимизация доли безвозмездных и безвозвратных перечислений в общих доходах бюджета;</w:t>
            </w:r>
            <w:r/>
          </w:p>
          <w:p>
            <w:pPr>
              <w:ind w:firstLine="432"/>
              <w:jc w:val="both"/>
            </w:pPr>
            <w:r>
              <w:t xml:space="preserve">- повышение эффективности бюджетных расходов;</w:t>
            </w:r>
            <w:r/>
          </w:p>
          <w:p>
            <w:pPr>
              <w:ind w:firstLine="432"/>
              <w:jc w:val="both"/>
            </w:pPr>
            <w:r>
              <w:t xml:space="preserve">- достижение максимально возможного уровня занятости населения, эффективного использования трудовых ресурсов, минимизация уровня безработицы, увеличение доли занятых в малом бизнесе;</w:t>
            </w:r>
            <w:r/>
          </w:p>
          <w:p>
            <w:pPr>
              <w:ind w:firstLine="432"/>
              <w:jc w:val="both"/>
            </w:pPr>
            <w:r>
              <w:t xml:space="preserve">- повышение производительности труда и создание высокопроизводительных рабочих мест;</w:t>
            </w:r>
            <w:r/>
          </w:p>
          <w:p>
            <w:pPr>
              <w:ind w:firstLine="432"/>
              <w:jc w:val="both"/>
              <w:rPr>
                <w:b/>
              </w:rPr>
            </w:pPr>
            <w:r>
              <w:t xml:space="preserve">- осуществление эффективного управления муниципальным образованием, наличие квалифицированных управленческих кадров в органах местного самоуправления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4347" w:type="dxa"/>
            <w:textDirection w:val="lrTb"/>
            <w:noWrap w:val="false"/>
          </w:tcPr>
          <w:p>
            <w:pPr>
              <w:ind w:firstLine="563"/>
              <w:jc w:val="both"/>
              <w:tabs>
                <w:tab w:val="left" w:pos="640" w:leader="none"/>
              </w:tabs>
            </w:pPr>
            <w:r>
              <w:t xml:space="preserve">- истощение природных ресурсов в результате неэффективного и нерационального их использования;</w:t>
            </w:r>
            <w:r/>
          </w:p>
          <w:p>
            <w:pPr>
              <w:ind w:firstLine="563"/>
              <w:jc w:val="both"/>
              <w:tabs>
                <w:tab w:val="left" w:pos="640" w:leader="none"/>
              </w:tabs>
            </w:pPr>
            <w:r>
              <w:t xml:space="preserve">- нестабильность федерального и регионального законодательства;</w:t>
            </w:r>
            <w:r/>
          </w:p>
          <w:p>
            <w:pPr>
              <w:ind w:firstLine="563"/>
              <w:jc w:val="both"/>
              <w:tabs>
                <w:tab w:val="left" w:pos="640" w:leader="none"/>
              </w:tabs>
            </w:pPr>
            <w:r>
              <w:t xml:space="preserve">- зависимость МО от внешних инвестиций;</w:t>
            </w:r>
            <w:r/>
          </w:p>
          <w:p>
            <w:pPr>
              <w:ind w:firstLine="563"/>
              <w:jc w:val="both"/>
              <w:tabs>
                <w:tab w:val="left" w:pos="640" w:leader="none"/>
              </w:tabs>
            </w:pPr>
            <w:r>
              <w:t xml:space="preserve">- зависимость МО от дотаций и субвенций областного бюджета;</w:t>
            </w:r>
            <w:r/>
          </w:p>
          <w:p>
            <w:pPr>
              <w:ind w:firstLine="563"/>
              <w:jc w:val="both"/>
              <w:tabs>
                <w:tab w:val="left" w:pos="640" w:leader="none"/>
              </w:tabs>
            </w:pPr>
            <w:r>
              <w:t xml:space="preserve">- снижение темпов развития промышленности;</w:t>
            </w:r>
            <w:r/>
          </w:p>
          <w:p>
            <w:pPr>
              <w:ind w:firstLine="563"/>
              <w:jc w:val="both"/>
              <w:tabs>
                <w:tab w:val="left" w:pos="640" w:leader="none"/>
              </w:tabs>
            </w:pPr>
            <w:r>
              <w:t xml:space="preserve">- неэффективное сельскохозяйственное производство;</w:t>
            </w:r>
            <w:r/>
          </w:p>
          <w:p>
            <w:pPr>
              <w:ind w:firstLine="563"/>
              <w:jc w:val="both"/>
              <w:tabs>
                <w:tab w:val="left" w:pos="640" w:leader="none"/>
              </w:tabs>
            </w:pPr>
            <w:r>
              <w:t xml:space="preserve">- недостаточная поддержка </w:t>
            </w:r>
            <w:r>
              <w:t xml:space="preserve">сельхозтоваропроизводителей</w:t>
            </w:r>
            <w:r>
              <w:t xml:space="preserve"> со стороны государства и органов местного самоуправления;</w:t>
            </w:r>
            <w:r/>
          </w:p>
          <w:p>
            <w:pPr>
              <w:ind w:firstLine="563"/>
              <w:jc w:val="both"/>
              <w:tabs>
                <w:tab w:val="left" w:pos="640" w:leader="none"/>
              </w:tabs>
            </w:pPr>
            <w:r>
              <w:t xml:space="preserve">- недобросовестная конкуренция  со стороны крупного бизнеса;</w:t>
            </w:r>
            <w:r/>
          </w:p>
          <w:p>
            <w:pPr>
              <w:ind w:firstLine="563"/>
              <w:jc w:val="both"/>
              <w:tabs>
                <w:tab w:val="left" w:pos="640" w:leader="none"/>
              </w:tabs>
            </w:pPr>
            <w:r>
              <w:t xml:space="preserve">- </w:t>
            </w:r>
            <w:r>
              <w:t xml:space="preserve">моноотраслевая</w:t>
            </w:r>
            <w:r>
              <w:t xml:space="preserve"> экономика;</w:t>
            </w:r>
            <w:r/>
          </w:p>
          <w:p>
            <w:pPr>
              <w:ind w:firstLine="563"/>
              <w:jc w:val="both"/>
              <w:tabs>
                <w:tab w:val="left" w:pos="640" w:leader="none"/>
              </w:tabs>
            </w:pPr>
            <w:r>
              <w:t xml:space="preserve">- неразвитость малого бизнеса вследствие отсутствия поддержки со стороны государства и органов местного самоуправления;</w:t>
            </w:r>
            <w:r/>
          </w:p>
          <w:p>
            <w:pPr>
              <w:ind w:firstLine="563"/>
              <w:jc w:val="both"/>
              <w:tabs>
                <w:tab w:val="left" w:pos="640" w:leader="none"/>
              </w:tabs>
            </w:pPr>
            <w:r>
              <w:t xml:space="preserve">- разногласие между органами местного самоуправления и бизнес-сообществом;</w:t>
            </w:r>
            <w:r/>
          </w:p>
          <w:p>
            <w:pPr>
              <w:ind w:firstLine="563"/>
              <w:jc w:val="both"/>
              <w:tabs>
                <w:tab w:val="left" w:pos="640" w:leader="none"/>
              </w:tabs>
            </w:pPr>
            <w:r>
              <w:t xml:space="preserve">- рост уровня безработицы населения, нехватка квалифицированных кадров, в особенности в сельской местности;</w:t>
            </w:r>
            <w:r/>
          </w:p>
          <w:p>
            <w:pPr>
              <w:ind w:firstLine="612"/>
              <w:jc w:val="both"/>
              <w:tabs>
                <w:tab w:val="left" w:pos="972" w:leader="none"/>
              </w:tabs>
              <w:rPr>
                <w:b/>
              </w:rPr>
            </w:pPr>
            <w:r>
              <w:t xml:space="preserve">- осуществление управления муниципальным образованием без учета интересов населения.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gridSpan w:val="2"/>
            <w:tcW w:w="9567" w:type="dxa"/>
            <w:textDirection w:val="lrTb"/>
            <w:noWrap w:val="false"/>
          </w:tcPr>
          <w:p>
            <w:pPr>
              <w:ind w:firstLine="203"/>
              <w:jc w:val="center"/>
              <w:rPr>
                <w:b/>
              </w:rPr>
            </w:pPr>
            <w:r>
              <w:rPr>
                <w:b/>
              </w:rPr>
              <w:t xml:space="preserve">Социальные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/>
        <w:tc>
          <w:tcPr>
            <w:tcW w:w="5220" w:type="dxa"/>
            <w:textDirection w:val="lrTb"/>
            <w:noWrap w:val="false"/>
          </w:tcPr>
          <w:p>
            <w:pPr>
              <w:ind w:firstLine="432"/>
              <w:jc w:val="both"/>
            </w:pPr>
            <w:r>
              <w:t xml:space="preserve">- стабилизация и улучшение демографической ситуации (увеличение численности населения, рост рождаемости, снижение смертности, в том числе детской, миграционный прирост населения за счет притока экономически активного населения);</w:t>
            </w:r>
            <w:r/>
          </w:p>
          <w:p>
            <w:pPr>
              <w:ind w:firstLine="432"/>
              <w:jc w:val="both"/>
            </w:pPr>
            <w:r>
              <w:t xml:space="preserve">- значительный рост покупательной способности заработной платы во всех социально-экономических сферах;</w:t>
            </w:r>
            <w:r/>
          </w:p>
          <w:p>
            <w:pPr>
              <w:ind w:firstLine="432"/>
              <w:jc w:val="both"/>
            </w:pPr>
            <w:r>
              <w:t xml:space="preserve">- высокий уровень развития сферы услуг;</w:t>
            </w:r>
            <w:r/>
          </w:p>
          <w:p>
            <w:pPr>
              <w:ind w:firstLine="432"/>
              <w:jc w:val="both"/>
            </w:pPr>
            <w:r>
              <w:t xml:space="preserve">- реформирование ЖКХ, достижение высокого качества жилищно-коммунальных услуг и благоустройства;</w:t>
            </w:r>
            <w:r/>
          </w:p>
          <w:p>
            <w:pPr>
              <w:ind w:firstLine="432"/>
              <w:jc w:val="both"/>
            </w:pPr>
            <w:r>
              <w:t xml:space="preserve">- формирование современной эффективной системы здравоохранения в муниципальном образовании, развитие спорта, укрепление здоровья населения, снижение заболеваемости, рост продолжительности жизни;</w:t>
            </w:r>
            <w:r/>
          </w:p>
          <w:p>
            <w:pPr>
              <w:ind w:firstLine="432"/>
              <w:jc w:val="both"/>
            </w:pPr>
            <w:r>
              <w:t xml:space="preserve">- формирование современной эффективной системы образования, повышение уровня образованности населения;</w:t>
            </w:r>
            <w:r/>
          </w:p>
          <w:p>
            <w:pPr>
              <w:ind w:firstLine="432"/>
              <w:jc w:val="both"/>
            </w:pPr>
            <w:r>
              <w:t xml:space="preserve">- повышение уровня культуры, организации досуга населения;</w:t>
            </w:r>
            <w:r/>
          </w:p>
          <w:p>
            <w:pPr>
              <w:ind w:firstLine="432"/>
              <w:jc w:val="both"/>
            </w:pPr>
            <w:r>
              <w:t xml:space="preserve">- укрепление правопорядка;</w:t>
            </w:r>
            <w:r/>
          </w:p>
          <w:p>
            <w:pPr>
              <w:ind w:firstLine="432"/>
              <w:jc w:val="both"/>
            </w:pPr>
            <w:r>
              <w:t xml:space="preserve">- благоприятная экологическая обстановка;</w:t>
            </w:r>
            <w:r/>
          </w:p>
          <w:p>
            <w:pPr>
              <w:ind w:firstLine="432"/>
              <w:jc w:val="both"/>
            </w:pPr>
            <w:r>
              <w:t xml:space="preserve">- формирование солидарного общества;</w:t>
            </w:r>
            <w:r/>
          </w:p>
          <w:p>
            <w:pPr>
              <w:ind w:firstLine="432"/>
              <w:jc w:val="both"/>
            </w:pPr>
            <w:r>
              <w:t xml:space="preserve">- здоровое, образованное, культурное, занятое трудовой деятельностью молодое поколение</w:t>
            </w:r>
            <w:r/>
          </w:p>
        </w:tc>
        <w:tc>
          <w:tcPr>
            <w:tcW w:w="4347" w:type="dxa"/>
            <w:textDirection w:val="lrTb"/>
            <w:noWrap w:val="false"/>
          </w:tcPr>
          <w:p>
            <w:pPr>
              <w:ind w:firstLine="563"/>
              <w:jc w:val="both"/>
              <w:tabs>
                <w:tab w:val="left" w:pos="628" w:leader="none"/>
              </w:tabs>
            </w:pPr>
            <w:r>
              <w:t xml:space="preserve">- демографический кризис (сокращение численности населения, «вымирание» села, «старение» населения, значительный отток активной части населения);</w:t>
            </w:r>
            <w:r/>
          </w:p>
          <w:p>
            <w:pPr>
              <w:ind w:firstLine="563"/>
              <w:jc w:val="both"/>
              <w:tabs>
                <w:tab w:val="left" w:pos="628" w:leader="none"/>
              </w:tabs>
            </w:pPr>
            <w:r>
              <w:t xml:space="preserve">- снижение уровня доходов населения, обнищание населения;</w:t>
            </w:r>
            <w:r/>
          </w:p>
          <w:p>
            <w:pPr>
              <w:ind w:firstLine="563"/>
              <w:jc w:val="both"/>
              <w:tabs>
                <w:tab w:val="left" w:pos="628" w:leader="none"/>
              </w:tabs>
            </w:pPr>
            <w:r>
              <w:t xml:space="preserve">- увеличение степени износа инженерных сетей и неплатежей за жилищно-коммунальные услуги;</w:t>
            </w:r>
            <w:r/>
          </w:p>
          <w:p>
            <w:pPr>
              <w:ind w:firstLine="563"/>
              <w:jc w:val="both"/>
              <w:tabs>
                <w:tab w:val="left" w:pos="628" w:leader="none"/>
              </w:tabs>
            </w:pPr>
            <w:r>
              <w:t xml:space="preserve">- низкое качество услуг здравоохранения, ухудшение здоровья населения;</w:t>
            </w:r>
            <w:r/>
          </w:p>
          <w:p>
            <w:pPr>
              <w:ind w:firstLine="563"/>
              <w:jc w:val="both"/>
              <w:tabs>
                <w:tab w:val="left" w:pos="628" w:leader="none"/>
              </w:tabs>
            </w:pPr>
            <w:r>
              <w:t xml:space="preserve">- снижение уровня образованности и культуры населении;</w:t>
            </w:r>
            <w:r/>
          </w:p>
          <w:p>
            <w:pPr>
              <w:ind w:firstLine="563"/>
              <w:jc w:val="both"/>
              <w:tabs>
                <w:tab w:val="left" w:pos="628" w:leader="none"/>
              </w:tabs>
            </w:pPr>
            <w:r>
              <w:t xml:space="preserve">- неразвитость торгового и бытового обслуживания на селе;</w:t>
            </w:r>
            <w:r/>
          </w:p>
          <w:p>
            <w:pPr>
              <w:ind w:firstLine="563"/>
              <w:jc w:val="both"/>
              <w:tabs>
                <w:tab w:val="left" w:pos="628" w:leader="none"/>
              </w:tabs>
            </w:pPr>
            <w:r>
              <w:t xml:space="preserve">- рост преступности;</w:t>
            </w:r>
            <w:r/>
          </w:p>
          <w:p>
            <w:pPr>
              <w:ind w:firstLine="563"/>
              <w:jc w:val="both"/>
              <w:tabs>
                <w:tab w:val="left" w:pos="628" w:leader="none"/>
              </w:tabs>
            </w:pPr>
            <w:r>
              <w:t xml:space="preserve">- экологический кризис;</w:t>
            </w:r>
            <w:r/>
          </w:p>
          <w:p>
            <w:pPr>
              <w:ind w:firstLine="563"/>
              <w:jc w:val="both"/>
              <w:tabs>
                <w:tab w:val="left" w:pos="628" w:leader="none"/>
              </w:tabs>
            </w:pPr>
            <w:r>
              <w:t xml:space="preserve">- низкий уровень политической активности населения, утрата органами местного самоуправления доверия  населения</w:t>
            </w:r>
            <w:r/>
          </w:p>
          <w:p>
            <w:pPr>
              <w:ind w:firstLine="203"/>
              <w:jc w:val="both"/>
            </w:pPr>
            <w:r/>
            <w:r/>
          </w:p>
          <w:p>
            <w:pPr>
              <w:ind w:firstLine="203"/>
              <w:jc w:val="both"/>
            </w:pPr>
            <w:r/>
            <w:r/>
          </w:p>
          <w:p>
            <w:pPr>
              <w:ind w:firstLine="203"/>
              <w:jc w:val="both"/>
            </w:pPr>
            <w:r/>
            <w:r/>
          </w:p>
          <w:p>
            <w:pPr>
              <w:ind w:firstLine="203"/>
              <w:jc w:val="both"/>
            </w:pPr>
            <w:r/>
            <w:r/>
          </w:p>
          <w:p>
            <w:pPr>
              <w:ind w:firstLine="203"/>
              <w:jc w:val="both"/>
            </w:pPr>
            <w:r/>
            <w:r/>
          </w:p>
        </w:tc>
      </w:tr>
    </w:tbl>
    <w:p>
      <w:r/>
      <w:r/>
    </w:p>
    <w:p>
      <w:pPr>
        <w:jc w:val="center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 Роль муниципального образования в экономике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Белгородской области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Роль муниципального образования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  экономике и  социальной сфере региона значима, поскольку имеет достаточно высокий экономический потенциал. Именно на уровне муниципалитетов протек</w:t>
      </w:r>
      <w:r>
        <w:rPr>
          <w:color w:val="000000"/>
          <w:sz w:val="28"/>
          <w:szCs w:val="28"/>
        </w:rPr>
        <w:t xml:space="preserve">ают все социально-экономические процессы: создаются условия для повышения конкурентоспособности товаров, эффективной работы предприятий, повышения уровня жизни населения. Поэтому муниципальное образование  можно считать первичной ячейкой экономики области.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Муниципальное образование, имеет свои индивидуальные особенности формирования бюджета, развития промышленности, экологической </w:t>
      </w:r>
      <w:r>
        <w:rPr>
          <w:color w:val="000000"/>
          <w:sz w:val="28"/>
          <w:szCs w:val="28"/>
        </w:rPr>
        <w:t xml:space="preserve">обстановки. Местное самоуправление представляет собой многостороннюю деятельность местного сообщества по решению собственных и других стоящих перед ним задач на основе принципов самоорганизации, самофинансирования и </w:t>
      </w:r>
      <w:r>
        <w:rPr>
          <w:color w:val="000000"/>
          <w:sz w:val="28"/>
          <w:szCs w:val="28"/>
        </w:rPr>
        <w:t xml:space="preserve">самоответственности</w:t>
      </w:r>
      <w:r>
        <w:rPr>
          <w:color w:val="000000"/>
          <w:sz w:val="28"/>
          <w:szCs w:val="28"/>
        </w:rPr>
        <w:t xml:space="preserve"> с целью улучшения качества жизни населения и увеличения его вклада в развитие всего общества. Таким образом</w:t>
      </w:r>
      <w:r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муниципальное образование наиболее приближено к населению и неразрывно связано с ним.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и роль муниципального образования в экономике Белгородской области  характеризуется его удельным весом по  экономическим показателям, представленным в таблице</w:t>
      </w:r>
      <w:r>
        <w:rPr>
          <w:sz w:val="28"/>
          <w:szCs w:val="28"/>
        </w:rPr>
        <w:t xml:space="preserve"> 5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5</w:t>
      </w:r>
      <w:r>
        <w:rPr>
          <w:i/>
          <w:sz w:val="28"/>
          <w:szCs w:val="28"/>
        </w:rPr>
        <w:t xml:space="preserve">4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показатели социально-экономического развития муниципального образования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 Белгородской области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 2016 году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0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tbl>
      <w:tblPr>
        <w:tblW w:w="9809" w:type="dxa"/>
        <w:tblInd w:w="-1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394"/>
        <w:gridCol w:w="1303"/>
        <w:gridCol w:w="1134"/>
        <w:gridCol w:w="1134"/>
        <w:gridCol w:w="1276"/>
      </w:tblGrid>
      <w:tr>
        <w:tblPrEx/>
        <w:trPr>
          <w:cantSplit/>
          <w:tblHeader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pStyle w:val="1028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</w:rPr>
              <w:t xml:space="preserve">№№ п/п</w:t>
            </w:r>
            <w:r>
              <w:rPr>
                <w:rFonts w:ascii="Times New Roman" w:hAnsi="Times New Roman" w:eastAsia="Calibri" w:cs="Times New Roman"/>
                <w:b/>
              </w:rPr>
            </w:r>
            <w:r>
              <w:rPr>
                <w:rFonts w:ascii="Times New Roman" w:hAnsi="Times New Roman" w:eastAsia="Calibri" w:cs="Times New Roman"/>
                <w:b/>
              </w:rPr>
            </w:r>
          </w:p>
        </w:tc>
        <w:tc>
          <w:tcPr>
            <w:tcW w:w="4394" w:type="dxa"/>
            <w:vAlign w:val="center"/>
            <w:textDirection w:val="lrTb"/>
            <w:noWrap w:val="false"/>
          </w:tcPr>
          <w:p>
            <w:pPr>
              <w:pStyle w:val="1028"/>
              <w:ind w:firstLine="34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</w:rPr>
              <w:t xml:space="preserve">Показатели, ед. изм.</w:t>
            </w:r>
            <w:r>
              <w:rPr>
                <w:rFonts w:ascii="Times New Roman" w:hAnsi="Times New Roman" w:eastAsia="Calibri" w:cs="Times New Roman"/>
                <w:b/>
              </w:rPr>
            </w:r>
            <w:r>
              <w:rPr>
                <w:rFonts w:ascii="Times New Roman" w:hAnsi="Times New Roman" w:eastAsia="Calibri" w:cs="Times New Roman"/>
                <w:b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</w:rPr>
              <w:t xml:space="preserve">Чернянский район</w:t>
            </w:r>
            <w:r>
              <w:rPr>
                <w:rFonts w:ascii="Times New Roman" w:hAnsi="Times New Roman" w:eastAsia="Calibri" w:cs="Times New Roman"/>
                <w:b/>
              </w:rPr>
            </w:r>
            <w:r>
              <w:rPr>
                <w:rFonts w:ascii="Times New Roman" w:hAnsi="Times New Roman" w:eastAsia="Calibri" w:cs="Times New Roman"/>
                <w:b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</w:rPr>
              <w:t xml:space="preserve">Белго-родская</w:t>
            </w:r>
            <w:r>
              <w:rPr>
                <w:rFonts w:ascii="Times New Roman" w:hAnsi="Times New Roman" w:eastAsia="Calibri" w:cs="Times New Roman"/>
                <w:b/>
              </w:rPr>
              <w:t xml:space="preserve"> область</w:t>
            </w:r>
            <w:r>
              <w:rPr>
                <w:rFonts w:ascii="Times New Roman" w:hAnsi="Times New Roman" w:eastAsia="Calibri" w:cs="Times New Roman"/>
                <w:b/>
              </w:rPr>
            </w:r>
            <w:r>
              <w:rPr>
                <w:rFonts w:ascii="Times New Roman" w:hAnsi="Times New Roman" w:eastAsia="Calibri" w:cs="Times New Roman"/>
                <w:b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  <w:t xml:space="preserve">Район</w:t>
            </w:r>
            <w:r>
              <w:rPr>
                <w:rFonts w:ascii="Times New Roman" w:hAnsi="Times New Roman" w:cs="Times New Roman"/>
                <w:b/>
                <w:szCs w:val="22"/>
              </w:rPr>
              <w:t xml:space="preserve">/ область, %</w:t>
            </w:r>
            <w:r>
              <w:rPr>
                <w:rFonts w:ascii="Times New Roman" w:hAnsi="Times New Roman" w:eastAsia="Calibri" w:cs="Times New Roman"/>
                <w:b/>
              </w:rPr>
            </w:r>
            <w:r>
              <w:rPr>
                <w:rFonts w:ascii="Times New Roman" w:hAnsi="Times New Roman" w:eastAsia="Calibri" w:cs="Times New Roman"/>
                <w:b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</w:rPr>
              <w:t xml:space="preserve">Место среди </w:t>
            </w:r>
            <w:r>
              <w:rPr>
                <w:rFonts w:ascii="Times New Roman" w:hAnsi="Times New Roman" w:eastAsia="Calibri" w:cs="Times New Roman"/>
                <w:b/>
              </w:rPr>
              <w:t xml:space="preserve">муници-пальных</w:t>
            </w:r>
            <w:r>
              <w:rPr>
                <w:rFonts w:ascii="Times New Roman" w:hAnsi="Times New Roman" w:eastAsia="Calibri" w:cs="Times New Roman"/>
                <w:b/>
              </w:rPr>
              <w:t xml:space="preserve"> районов и городских округов</w:t>
            </w:r>
            <w:r>
              <w:rPr>
                <w:rFonts w:ascii="Times New Roman" w:hAnsi="Times New Roman" w:eastAsia="Calibri" w:cs="Times New Roman"/>
                <w:b/>
              </w:rPr>
            </w:r>
            <w:r>
              <w:rPr>
                <w:rFonts w:ascii="Times New Roman" w:hAnsi="Times New Roman" w:eastAsia="Calibri" w:cs="Times New Roman"/>
                <w:b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Среднегодовая численность населения, </w:t>
            </w:r>
            <w:r>
              <w:rPr>
                <w:rFonts w:eastAsia="Calibri"/>
                <w:sz w:val="20"/>
                <w:szCs w:val="20"/>
              </w:rPr>
              <w:t xml:space="preserve">тыс.</w:t>
            </w:r>
            <w:r>
              <w:rPr>
                <w:rFonts w:eastAsia="Calibri"/>
                <w:sz w:val="20"/>
                <w:szCs w:val="20"/>
              </w:rPr>
              <w:t xml:space="preserve"> человек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31,4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1551,5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2,02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13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Ожидаемая продолжительность жизни при рождении, лет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70,8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72,87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97,16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Borders>
              <w:bottom w:val="single" w:color="auto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-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  <w:trHeight w:val="458"/>
        </w:trPr>
        <w:tc>
          <w:tcPr>
            <w:tcW w:w="5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3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Общий коэффициент рождаемости, человек на 1000 населения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vMerge w:val="restart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11,0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11,1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Borders>
              <w:right w:val="single" w:color="auto" w:sz="4" w:space="0"/>
            </w:tcBorders>
            <w:tcW w:w="1134" w:type="dxa"/>
            <w:vAlign w:val="center"/>
            <w:vMerge w:val="restart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99,09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8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  <w:tblHeader/>
        </w:trPr>
        <w:tc>
          <w:tcPr>
            <w:tcW w:w="568" w:type="dxa"/>
            <w:vAlign w:val="center"/>
            <w:vMerge w:val="continue"/>
            <w:textDirection w:val="lrTb"/>
            <w:noWrap w:val="false"/>
          </w:tcPr>
          <w:p>
            <w:pPr>
              <w:pStyle w:val="1028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</w:rPr>
            </w:r>
            <w:r>
              <w:rPr>
                <w:rFonts w:ascii="Times New Roman" w:hAnsi="Times New Roman" w:eastAsia="Calibri" w:cs="Times New Roman"/>
                <w:b/>
              </w:rPr>
            </w:r>
            <w:r>
              <w:rPr>
                <w:rFonts w:ascii="Times New Roman" w:hAnsi="Times New Roman" w:eastAsia="Calibri" w:cs="Times New Roman"/>
                <w:b/>
              </w:rPr>
            </w:r>
          </w:p>
        </w:tc>
        <w:tc>
          <w:tcPr>
            <w:tcW w:w="4394" w:type="dxa"/>
            <w:vAlign w:val="center"/>
            <w:vMerge w:val="continue"/>
            <w:textDirection w:val="lrTb"/>
            <w:noWrap w:val="false"/>
          </w:tcPr>
          <w:p>
            <w:pPr>
              <w:pStyle w:val="1028"/>
              <w:ind w:firstLine="34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</w:rPr>
            </w:r>
            <w:r>
              <w:rPr>
                <w:rFonts w:ascii="Times New Roman" w:hAnsi="Times New Roman" w:eastAsia="Calibri" w:cs="Times New Roman"/>
                <w:b/>
              </w:rPr>
            </w:r>
            <w:r>
              <w:rPr>
                <w:rFonts w:ascii="Times New Roman" w:hAnsi="Times New Roman" w:eastAsia="Calibri" w:cs="Times New Roman"/>
                <w:b/>
              </w:rPr>
            </w:r>
          </w:p>
        </w:tc>
        <w:tc>
          <w:tcPr>
            <w:tcW w:w="1303" w:type="dxa"/>
            <w:vAlign w:val="center"/>
            <w:vMerge w:val="continue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</w:rPr>
            </w:r>
            <w:r>
              <w:rPr>
                <w:rFonts w:ascii="Times New Roman" w:hAnsi="Times New Roman" w:eastAsia="Calibri" w:cs="Times New Roman"/>
                <w:b/>
              </w:rPr>
            </w:r>
            <w:r>
              <w:rPr>
                <w:rFonts w:ascii="Times New Roman" w:hAnsi="Times New Roman" w:eastAsia="Calibri" w:cs="Times New Roman"/>
                <w:b/>
              </w:rPr>
            </w:r>
          </w:p>
        </w:tc>
        <w:tc>
          <w:tcPr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</w:rPr>
            </w:r>
            <w:r>
              <w:rPr>
                <w:rFonts w:ascii="Times New Roman" w:hAnsi="Times New Roman" w:eastAsia="Calibri" w:cs="Times New Roman"/>
                <w:b/>
              </w:rPr>
            </w:r>
            <w:r>
              <w:rPr>
                <w:rFonts w:ascii="Times New Roman" w:hAnsi="Times New Roman" w:eastAsia="Calibri" w:cs="Times New Roman"/>
                <w:b/>
              </w:rPr>
            </w:r>
          </w:p>
        </w:tc>
        <w:tc>
          <w:tcPr>
            <w:tcBorders>
              <w:right w:val="single" w:color="auto" w:sz="4" w:space="0"/>
            </w:tcBorders>
            <w:tcW w:w="1134" w:type="dxa"/>
            <w:vAlign w:val="center"/>
            <w:vMerge w:val="continue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cs="Times New Roman"/>
                <w:b/>
                <w:szCs w:val="22"/>
              </w:rPr>
            </w:pPr>
            <w:r>
              <w:rPr>
                <w:rFonts w:ascii="Times New Roman" w:hAnsi="Times New Roman" w:cs="Times New Roman"/>
                <w:b/>
                <w:szCs w:val="22"/>
              </w:rPr>
            </w:r>
            <w:r>
              <w:rPr>
                <w:rFonts w:ascii="Times New Roman" w:hAnsi="Times New Roman" w:cs="Times New Roman"/>
                <w:b/>
                <w:szCs w:val="22"/>
              </w:rPr>
            </w:r>
            <w:r>
              <w:rPr>
                <w:rFonts w:ascii="Times New Roman" w:hAnsi="Times New Roman" w:cs="Times New Roman"/>
                <w:b/>
                <w:szCs w:val="22"/>
              </w:rPr>
            </w:r>
          </w:p>
        </w:tc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 w:eastAsia="Calibri" w:cs="Times New Roman"/>
                <w:b/>
              </w:rPr>
            </w:pPr>
            <w:r>
              <w:rPr>
                <w:rFonts w:ascii="Times New Roman" w:hAnsi="Times New Roman" w:eastAsia="Calibri" w:cs="Times New Roman"/>
                <w:b/>
              </w:rPr>
            </w:r>
            <w:r>
              <w:rPr>
                <w:rFonts w:ascii="Times New Roman" w:hAnsi="Times New Roman" w:eastAsia="Calibri" w:cs="Times New Roman"/>
                <w:b/>
              </w:rPr>
            </w:r>
            <w:r>
              <w:rPr>
                <w:rFonts w:ascii="Times New Roman" w:hAnsi="Times New Roman" w:eastAsia="Calibri" w:cs="Times New Roman"/>
                <w:b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4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Общий коэффициент смертности, человек на 1000 населения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17,1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13,9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в 1,2 раза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13-14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5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Младенческая смертность, случаев на 1000 человек родившихся живыми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2,9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6,0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48,33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Borders>
              <w:top w:val="single" w:color="auto" w:sz="4" w:space="0"/>
            </w:tcBorders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3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6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Доля населения, регулярно занимающегося физкультурой и спортом,</w:t>
            </w:r>
            <w:r>
              <w:rPr>
                <w:rFonts w:eastAsia="Calibri"/>
                <w:sz w:val="20"/>
                <w:szCs w:val="20"/>
              </w:rPr>
              <w:t xml:space="preserve">%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45,9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39,2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6,7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5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7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Доля учащихся, обучающихся в современных условиях, от общего числа учащихся на всех уровнях образования,</w:t>
            </w:r>
            <w:r>
              <w:rPr>
                <w:rFonts w:eastAsia="Calibri"/>
                <w:sz w:val="20"/>
                <w:szCs w:val="20"/>
              </w:rPr>
              <w:t xml:space="preserve">%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80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94,6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-14,6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21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8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Среднемесячная заработная плата одного работника (по полному кругу организаций), рублей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22043,0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27090,9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81,37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21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9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Уровень зарегистрированной безработицы,</w:t>
            </w:r>
            <w:r>
              <w:rPr>
                <w:rFonts w:eastAsia="Calibri"/>
                <w:sz w:val="20"/>
                <w:szCs w:val="20"/>
              </w:rPr>
              <w:t xml:space="preserve">%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0,7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0,69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0,01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8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10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Число посещений культурно-досуговых учреждений, </w:t>
            </w:r>
            <w:r>
              <w:rPr>
                <w:rFonts w:eastAsia="Calibri"/>
                <w:sz w:val="20"/>
                <w:szCs w:val="20"/>
              </w:rPr>
              <w:t xml:space="preserve">тыс.</w:t>
            </w:r>
            <w:r>
              <w:rPr>
                <w:rFonts w:eastAsia="Calibri"/>
                <w:sz w:val="20"/>
                <w:szCs w:val="20"/>
              </w:rPr>
              <w:t xml:space="preserve"> посещений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919,2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17582,9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5,23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10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11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Удельный вес молодежи, охваченной мероприятиями молодежной политики, к общему числу молодежи,</w:t>
            </w:r>
            <w:r>
              <w:rPr>
                <w:rFonts w:eastAsia="Calibri"/>
                <w:sz w:val="20"/>
                <w:szCs w:val="20"/>
              </w:rPr>
              <w:t xml:space="preserve">%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80,16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78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2,16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13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12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Объем промышленного производства на душу населения, </w:t>
            </w:r>
            <w:r>
              <w:rPr>
                <w:rFonts w:eastAsia="Calibri"/>
                <w:sz w:val="20"/>
                <w:szCs w:val="20"/>
              </w:rPr>
              <w:t xml:space="preserve">тыс.</w:t>
            </w:r>
            <w:r>
              <w:rPr>
                <w:rFonts w:eastAsia="Calibri"/>
                <w:sz w:val="20"/>
                <w:szCs w:val="20"/>
              </w:rPr>
              <w:t xml:space="preserve">рублей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234,7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475,4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49,37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-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13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Объем продукции сельского хозяйства в хозяйствах всех категорий на душу населения, </w:t>
            </w:r>
            <w:r>
              <w:rPr>
                <w:rFonts w:eastAsia="Calibri"/>
                <w:sz w:val="20"/>
                <w:szCs w:val="20"/>
              </w:rPr>
              <w:t xml:space="preserve">тыс.</w:t>
            </w:r>
            <w:r>
              <w:rPr>
                <w:rFonts w:eastAsia="Calibri"/>
                <w:sz w:val="20"/>
                <w:szCs w:val="20"/>
              </w:rPr>
              <w:t xml:space="preserve"> руб</w:t>
            </w:r>
            <w:r>
              <w:rPr>
                <w:rFonts w:eastAsia="Calibri"/>
                <w:sz w:val="20"/>
                <w:szCs w:val="20"/>
              </w:rPr>
              <w:t xml:space="preserve">лей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176,4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146,0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в 1,2 раза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15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14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Ввод в эксплуатацию жилых домов за счет всех источников финансирования, </w:t>
            </w:r>
            <w:r>
              <w:rPr>
                <w:rFonts w:eastAsia="Calibri"/>
                <w:sz w:val="20"/>
                <w:szCs w:val="20"/>
              </w:rPr>
              <w:t xml:space="preserve">тыс.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 xml:space="preserve">кв.м</w:t>
            </w:r>
            <w:r>
              <w:rPr>
                <w:rFonts w:eastAsia="Calibri"/>
                <w:sz w:val="20"/>
                <w:szCs w:val="20"/>
              </w:rPr>
              <w:t xml:space="preserve"> общей площади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17,71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1350,1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1,31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11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15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Оборот розничной торговли на душу населения, </w:t>
            </w:r>
            <w:r>
              <w:rPr>
                <w:rFonts w:eastAsia="Calibri"/>
                <w:sz w:val="20"/>
                <w:szCs w:val="20"/>
              </w:rPr>
              <w:t xml:space="preserve">тыс.</w:t>
            </w:r>
            <w:r>
              <w:rPr>
                <w:rFonts w:eastAsia="Calibri"/>
                <w:sz w:val="20"/>
                <w:szCs w:val="20"/>
              </w:rPr>
              <w:t xml:space="preserve"> рублей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80,3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192,5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41,71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12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16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Объем платных услуг на душу населения, </w:t>
            </w:r>
            <w:r>
              <w:rPr>
                <w:rFonts w:eastAsia="Calibri"/>
                <w:sz w:val="20"/>
                <w:szCs w:val="20"/>
              </w:rPr>
              <w:t xml:space="preserve">тыс.</w:t>
            </w:r>
            <w:r>
              <w:rPr>
                <w:rFonts w:eastAsia="Calibri"/>
                <w:sz w:val="20"/>
                <w:szCs w:val="20"/>
              </w:rPr>
              <w:t xml:space="preserve"> руб</w:t>
            </w:r>
            <w:r>
              <w:rPr>
                <w:rFonts w:eastAsia="Calibri"/>
                <w:sz w:val="20"/>
                <w:szCs w:val="20"/>
              </w:rPr>
              <w:t xml:space="preserve">лей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6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50,1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11,98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17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17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Инвестиции в основной капитал за счет всех источников финансирования на душу населения, </w:t>
            </w:r>
            <w:r>
              <w:rPr>
                <w:rFonts w:eastAsia="Calibri"/>
                <w:sz w:val="20"/>
                <w:szCs w:val="20"/>
              </w:rPr>
              <w:t xml:space="preserve">тыс.</w:t>
            </w:r>
            <w:r>
              <w:rPr>
                <w:rFonts w:eastAsia="Calibri"/>
                <w:sz w:val="20"/>
                <w:szCs w:val="20"/>
              </w:rPr>
              <w:t xml:space="preserve"> руб</w:t>
            </w:r>
            <w:r>
              <w:rPr>
                <w:rFonts w:eastAsia="Calibri"/>
                <w:sz w:val="20"/>
                <w:szCs w:val="20"/>
              </w:rPr>
              <w:t xml:space="preserve">лей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50,3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92,7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54,26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20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18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Удельный вес инновационных товаров, работ, услуг в общем объеме отгруженных товаров, работ, услуг организаций промышленного производства и сферы услуг, %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-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-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-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-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keepNext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19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Бюджетная обеспеченность (расходы местного бюджета) на одного жителя, </w:t>
            </w:r>
            <w:r>
              <w:rPr>
                <w:rFonts w:eastAsia="Calibri"/>
                <w:sz w:val="20"/>
                <w:szCs w:val="20"/>
              </w:rPr>
              <w:t xml:space="preserve">тыс.</w:t>
            </w:r>
            <w:r>
              <w:rPr>
                <w:rFonts w:eastAsia="Calibri"/>
                <w:sz w:val="20"/>
                <w:szCs w:val="20"/>
              </w:rPr>
              <w:t xml:space="preserve"> руб</w:t>
            </w:r>
            <w:r>
              <w:rPr>
                <w:rFonts w:eastAsia="Calibri"/>
                <w:sz w:val="20"/>
                <w:szCs w:val="20"/>
              </w:rPr>
              <w:t xml:space="preserve">лей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35,</w:t>
            </w:r>
            <w:r>
              <w:rPr>
                <w:rFonts w:ascii="Times New Roman" w:hAnsi="Times New Roman" w:eastAsia="Calibri" w:cs="Times New Roman"/>
              </w:rPr>
              <w:t xml:space="preserve">0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54,9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63,75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7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20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Число субъектов малого и среднего предпринимательства, на 10 </w:t>
            </w:r>
            <w:r>
              <w:rPr>
                <w:rFonts w:eastAsia="Calibri"/>
                <w:sz w:val="20"/>
                <w:szCs w:val="20"/>
              </w:rPr>
              <w:t xml:space="preserve">тыс.</w:t>
            </w:r>
            <w:r>
              <w:rPr>
                <w:rFonts w:eastAsia="Calibri"/>
                <w:sz w:val="20"/>
                <w:szCs w:val="20"/>
              </w:rPr>
              <w:t xml:space="preserve"> человек населения (на основе данных ЕРСМП ФНС России)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283,8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333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85,23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-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21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Общая площадь жилых помещений, приходящаяся в среднем на одного жителя,  кв. м 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33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29,9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110,37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9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22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Доля протяженности автомобильных дорог общего пользования с твердым покрытием в общей протяженности автодорог общего пользования,</w:t>
            </w:r>
            <w:r>
              <w:rPr>
                <w:rFonts w:eastAsia="Calibri"/>
                <w:sz w:val="20"/>
                <w:szCs w:val="20"/>
              </w:rPr>
              <w:t xml:space="preserve">%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88,</w:t>
            </w:r>
            <w:r>
              <w:rPr>
                <w:rFonts w:ascii="Times New Roman" w:hAnsi="Times New Roman" w:eastAsia="Calibri" w:cs="Times New Roman"/>
              </w:rPr>
              <w:t xml:space="preserve">7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90,7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-2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16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23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Выбросы загрязняющих веществ в атмосферный воздух, отходящих от стационарных источников загрязнения, тонн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590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112900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0,52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5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24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Сброс загрязненных сточных вод в поверхностные водные объекты, </w:t>
            </w:r>
            <w:r>
              <w:rPr>
                <w:rFonts w:eastAsia="Calibri"/>
                <w:sz w:val="20"/>
                <w:szCs w:val="20"/>
              </w:rPr>
              <w:t xml:space="preserve">тыс.</w:t>
            </w:r>
            <w:r>
              <w:rPr>
                <w:rFonts w:eastAsia="Calibri"/>
                <w:sz w:val="20"/>
                <w:szCs w:val="20"/>
              </w:rPr>
              <w:t xml:space="preserve"> м3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-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73600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-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-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  <w:tr>
        <w:tblPrEx/>
        <w:trPr>
          <w:cantSplit/>
        </w:trPr>
        <w:tc>
          <w:tcPr>
            <w:tcW w:w="5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25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4394" w:type="dxa"/>
            <w:textDirection w:val="lrTb"/>
            <w:noWrap w:val="false"/>
          </w:tcPr>
          <w:p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Число зарегистрированных преступлений, на 100 </w:t>
            </w:r>
            <w:r>
              <w:rPr>
                <w:rFonts w:eastAsia="Calibri"/>
                <w:sz w:val="20"/>
                <w:szCs w:val="20"/>
              </w:rPr>
              <w:t xml:space="preserve">тыс.</w:t>
            </w:r>
            <w:r>
              <w:rPr>
                <w:rFonts w:eastAsia="Calibri"/>
                <w:sz w:val="20"/>
                <w:szCs w:val="20"/>
              </w:rPr>
              <w:t xml:space="preserve"> человек населения</w:t>
            </w:r>
            <w:r>
              <w:rPr>
                <w:rFonts w:eastAsia="Calibri"/>
                <w:sz w:val="20"/>
                <w:szCs w:val="20"/>
              </w:rPr>
            </w:r>
            <w:r>
              <w:rPr>
                <w:rFonts w:eastAsia="Calibri"/>
                <w:sz w:val="20"/>
                <w:szCs w:val="20"/>
              </w:rPr>
            </w:r>
          </w:p>
        </w:tc>
        <w:tc>
          <w:tcPr>
            <w:tcW w:w="1303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713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884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80,66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pStyle w:val="1028"/>
              <w:ind w:left="-453" w:right="-80" w:firstLine="345"/>
              <w:jc w:val="center"/>
              <w:rPr>
                <w:rFonts w:ascii="Times New Roman" w:hAnsi="Times New Roman" w:eastAsia="Calibri" w:cs="Times New Roman"/>
              </w:rPr>
            </w:pPr>
            <w:r>
              <w:rPr>
                <w:rFonts w:ascii="Times New Roman" w:hAnsi="Times New Roman" w:eastAsia="Calibri" w:cs="Times New Roman"/>
              </w:rPr>
              <w:t xml:space="preserve">9</w:t>
            </w:r>
            <w:r>
              <w:rPr>
                <w:rFonts w:ascii="Times New Roman" w:hAnsi="Times New Roman" w:eastAsia="Calibri" w:cs="Times New Roman"/>
              </w:rPr>
            </w:r>
            <w:r>
              <w:rPr>
                <w:rFonts w:ascii="Times New Roman" w:hAnsi="Times New Roman" w:eastAsia="Calibri" w:cs="Times New Roman"/>
              </w:rPr>
            </w:r>
          </w:p>
        </w:tc>
      </w:tr>
    </w:tbl>
    <w:p>
      <w:pPr>
        <w:pStyle w:val="1005"/>
        <w:ind w:left="0" w:firstLine="709"/>
        <w:jc w:val="both"/>
        <w:spacing w:line="240" w:lineRule="auto"/>
        <w:rPr>
          <w:bCs/>
          <w:color w:val="000000"/>
          <w:szCs w:val="28"/>
        </w:rPr>
      </w:pPr>
      <w:r>
        <w:rPr>
          <w:bCs/>
          <w:color w:val="000000"/>
          <w:szCs w:val="28"/>
        </w:rPr>
        <w:t xml:space="preserve">Главное  богатство  муниципального образования - его человеческий потенциал, человеческий капитал, который воспроизводит и развивает социальную сферу. Так, ч</w:t>
      </w:r>
      <w:r>
        <w:rPr>
          <w:color w:val="000000"/>
          <w:szCs w:val="28"/>
        </w:rPr>
        <w:t xml:space="preserve">исленность населения муниципального района «Чернянский район» </w:t>
      </w:r>
      <w:r>
        <w:rPr>
          <w:szCs w:val="28"/>
        </w:rPr>
        <w:t xml:space="preserve">Белгородской области</w:t>
      </w:r>
      <w:r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на начало 2017 года составляет 31,4 тыс. человек и составляет 2,02</w:t>
      </w:r>
      <w:r>
        <w:rPr>
          <w:color w:val="000000"/>
          <w:szCs w:val="28"/>
        </w:rPr>
        <w:t xml:space="preserve">%</w:t>
      </w:r>
      <w:r>
        <w:rPr>
          <w:color w:val="000000"/>
          <w:szCs w:val="28"/>
        </w:rPr>
        <w:t xml:space="preserve"> в общей численности населения Белгородской области.</w:t>
      </w:r>
      <w:r>
        <w:rPr>
          <w:bCs/>
          <w:color w:val="000000"/>
          <w:szCs w:val="28"/>
        </w:rPr>
      </w:r>
      <w:r>
        <w:rPr>
          <w:bCs/>
          <w:color w:val="000000"/>
          <w:szCs w:val="28"/>
        </w:rPr>
      </w:r>
    </w:p>
    <w:p>
      <w:pPr>
        <w:pStyle w:val="1029"/>
        <w:ind w:firstLine="709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2016 г. в</w:t>
      </w:r>
      <w:r>
        <w:rPr>
          <w:color w:val="000000"/>
          <w:sz w:val="28"/>
          <w:szCs w:val="28"/>
        </w:rPr>
        <w:t xml:space="preserve"> районе родилось 345 человек, умерло 537 человек. Естественная убыль составила 192 человека. За   2016 г. зарегистрировано 165 браков и 138 разводов. За   2016 год в район прибыло 975 человек, выбыло 888 человек. Миграционный прирост составляет 87 человек.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0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 существуе</w:t>
      </w:r>
      <w:r>
        <w:rPr>
          <w:rFonts w:ascii="Times New Roman" w:hAnsi="Times New Roman" w:cs="Times New Roman"/>
          <w:sz w:val="28"/>
          <w:szCs w:val="28"/>
        </w:rPr>
        <w:t xml:space="preserve">т ряд факторов, замедляющих позитивные процессы, происходящие в районе. Серьезными проблемами экономической сферы остаются низкие темпы развития промышленного производства, малого бизнеса, торговли, общественного питания и оказания платных услуг населению.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2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 настоящее время возникла острая необходимость усиления позитивной динамики процессов, происходящих на территории муниципального образования, исходя из целевых ориентиров социально-экономического развития.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29"/>
        <w:ind w:firstLine="709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Поскольку муниципальное образование имеет высокий потенциал для роста экономики</w:t>
      </w:r>
      <w:r>
        <w:rPr>
          <w:color w:val="000000"/>
          <w:sz w:val="28"/>
          <w:szCs w:val="28"/>
        </w:rPr>
        <w:t xml:space="preserve">, возникла необходимость реализации крупных инфраструктурных инвестиционных проектов, а также реконструкция и строительство объектов транспортной инфраструктуры, реализация проектов по модернизации основных фондов градообразующих предприятий-работодателей.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3. </w:t>
      </w:r>
      <w:r>
        <w:rPr>
          <w:b/>
          <w:sz w:val="28"/>
          <w:szCs w:val="28"/>
        </w:rPr>
        <w:t xml:space="preserve">Формирование образа будущего</w:t>
      </w:r>
      <w:r>
        <w:rPr>
          <w:b/>
          <w:sz w:val="28"/>
          <w:szCs w:val="28"/>
        </w:rPr>
        <w:t xml:space="preserve"> муниципального </w:t>
      </w:r>
      <w:r>
        <w:rPr>
          <w:b/>
          <w:sz w:val="28"/>
          <w:szCs w:val="28"/>
        </w:rPr>
        <w:t xml:space="preserve">образования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 </w:t>
      </w:r>
      <w:r>
        <w:rPr>
          <w:b/>
          <w:sz w:val="28"/>
          <w:szCs w:val="28"/>
        </w:rPr>
        <w:t xml:space="preserve">Основные выводы и рекомендации по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выбору стратегических направлений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основе д</w:t>
      </w:r>
      <w:r>
        <w:rPr>
          <w:sz w:val="28"/>
          <w:szCs w:val="28"/>
        </w:rPr>
        <w:t xml:space="preserve">етального анализа </w:t>
      </w:r>
      <w:r>
        <w:rPr>
          <w:sz w:val="28"/>
          <w:szCs w:val="28"/>
        </w:rPr>
        <w:t xml:space="preserve">социально-экономического развития </w:t>
      </w:r>
      <w:r>
        <w:rPr>
          <w:sz w:val="28"/>
          <w:szCs w:val="28"/>
        </w:rPr>
        <w:t xml:space="preserve">муниципального образования </w:t>
      </w:r>
      <w:r>
        <w:rPr>
          <w:sz w:val="28"/>
          <w:szCs w:val="28"/>
        </w:rPr>
        <w:t xml:space="preserve">составлен перечень основных выводов и рекомендаций по выбору стратегических направлений, которые учтены при текущем и перспективном планировании: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5"/>
        </w:numPr>
        <w:ind w:left="0" w:firstLine="720"/>
        <w:jc w:val="both"/>
        <w:tabs>
          <w:tab w:val="clear" w:pos="360" w:leader="none"/>
          <w:tab w:val="left" w:pos="10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Для эффективного развития АПК следует использовать все известные современные методы с целью повышения конкурентоспособности предприятий всех форм хозяйствования.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5"/>
        </w:numPr>
        <w:ind w:left="0" w:firstLine="720"/>
        <w:jc w:val="both"/>
        <w:tabs>
          <w:tab w:val="clear" w:pos="360" w:leader="none"/>
          <w:tab w:val="left" w:pos="10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Устойчивое развитие сельских территорий опирается на максимальную мобилизацию внутренних ресурсов при безусловной поддержке регионального бюджета и привлечении малого бизнеса.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5"/>
        </w:numPr>
        <w:ind w:left="0" w:firstLine="720"/>
        <w:jc w:val="both"/>
        <w:tabs>
          <w:tab w:val="clear" w:pos="360" w:leader="none"/>
          <w:tab w:val="left" w:pos="10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Реализация средних и крупных инвестиционных проектов требует эффективного использования как внутренних ресурсов, так и внешних (частных и государственных).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5"/>
        </w:numPr>
        <w:ind w:left="0" w:firstLine="720"/>
        <w:jc w:val="both"/>
        <w:tabs>
          <w:tab w:val="clear" w:pos="360" w:leader="none"/>
          <w:tab w:val="left" w:pos="10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Необходимо стимулировать развитие малого и среднего предпринимательства.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5"/>
        </w:numPr>
        <w:ind w:left="0" w:firstLine="720"/>
        <w:jc w:val="both"/>
        <w:tabs>
          <w:tab w:val="clear" w:pos="360" w:leader="none"/>
          <w:tab w:val="left" w:pos="10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Крайне необходимой является информационная поддержка развития муниципалитета. Необходимо создать информационный ресурс</w:t>
      </w:r>
      <w:r>
        <w:rPr>
          <w:sz w:val="28"/>
          <w:szCs w:val="28"/>
        </w:rPr>
        <w:t xml:space="preserve"> для накопления и пр</w:t>
      </w:r>
      <w:r>
        <w:rPr>
          <w:sz w:val="28"/>
          <w:szCs w:val="28"/>
        </w:rPr>
        <w:t xml:space="preserve">одвижения информации о районе и его потенциале. Централизованный информационный ресурс также будет использоваться для оказания своевременной информационной поддержки внутри муниципального образования (изменение законодательства, рыночные изменения и т.п.).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1"/>
          <w:numId w:val="5"/>
        </w:numPr>
        <w:ind w:left="0" w:firstLine="720"/>
        <w:jc w:val="both"/>
        <w:tabs>
          <w:tab w:val="clear" w:pos="360" w:leader="none"/>
          <w:tab w:val="left" w:pos="10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Особое внима</w:t>
      </w:r>
      <w:r>
        <w:rPr>
          <w:sz w:val="28"/>
          <w:szCs w:val="28"/>
        </w:rPr>
        <w:t xml:space="preserve">ние следует уделить молодежи – она является основой будущего развития муниципалитета. Следует создать больше возможностей для повышения образовательного уровня, организации культурного, спортивного досуга молодежи и самореализации молодого поколения.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Будущий образ муниципального образования может быть охарактеризован следующими параметрами: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6"/>
        </w:numPr>
        <w:ind w:left="0" w:firstLine="720"/>
        <w:jc w:val="both"/>
        <w:tabs>
          <w:tab w:val="clear" w:pos="789" w:leader="none"/>
          <w:tab w:val="left" w:pos="10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Современный, облагороженный, сохранивший историческое наследие.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6"/>
        </w:numPr>
        <w:ind w:left="0" w:firstLine="720"/>
        <w:jc w:val="both"/>
        <w:tabs>
          <w:tab w:val="clear" w:pos="789" w:leader="none"/>
          <w:tab w:val="left" w:pos="10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Экологически чистая, красивая и ухоженная природа (реки, леса, холмы и т.п.).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6"/>
        </w:numPr>
        <w:ind w:left="0" w:firstLine="720"/>
        <w:jc w:val="both"/>
        <w:tabs>
          <w:tab w:val="clear" w:pos="789" w:leader="none"/>
          <w:tab w:val="left" w:pos="10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Центр проведения различных фестивалей и спортивных соревнований.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6"/>
        </w:numPr>
        <w:ind w:left="0" w:firstLine="720"/>
        <w:jc w:val="both"/>
        <w:tabs>
          <w:tab w:val="clear" w:pos="789" w:leader="none"/>
          <w:tab w:val="left" w:pos="10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Динамично развивающаяся конкурентоспособная экономика.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6"/>
        </w:numPr>
        <w:ind w:left="0" w:firstLine="720"/>
        <w:jc w:val="both"/>
        <w:tabs>
          <w:tab w:val="clear" w:pos="789" w:leader="none"/>
          <w:tab w:val="left" w:pos="10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 Низкий уровень безработицы и преступности.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6"/>
        </w:numPr>
        <w:ind w:left="0" w:firstLine="720"/>
        <w:jc w:val="both"/>
        <w:tabs>
          <w:tab w:val="clear" w:pos="789" w:leader="none"/>
          <w:tab w:val="left" w:pos="10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Стабильный высокий уровень благосостояния жителей.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6"/>
        </w:numPr>
        <w:ind w:left="0" w:firstLine="720"/>
        <w:jc w:val="both"/>
        <w:tabs>
          <w:tab w:val="clear" w:pos="789" w:leader="none"/>
          <w:tab w:val="left" w:pos="108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образование, в котором хочется  жить,  работать и отдыхать.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429" w:firstLine="720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429" w:firstLine="720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429" w:firstLine="720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429" w:firstLine="720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05"/>
        <w:ind w:left="0"/>
        <w:spacing w:line="276" w:lineRule="auto"/>
        <w:rPr>
          <w:b/>
          <w:bCs/>
        </w:rPr>
      </w:pPr>
      <w:r/>
      <w:bookmarkStart w:id="6" w:name="_Toc178505726"/>
      <w:r>
        <w:rPr>
          <w:b/>
          <w:bCs/>
          <w:szCs w:val="28"/>
        </w:rPr>
        <w:t xml:space="preserve">3.2. </w:t>
      </w:r>
      <w:bookmarkEnd w:id="6"/>
      <w:r>
        <w:rPr>
          <w:b/>
          <w:bCs/>
          <w:szCs w:val="28"/>
        </w:rPr>
        <w:t xml:space="preserve">Миссия и стратегическая цель развития </w:t>
      </w:r>
      <w:r>
        <w:rPr>
          <w:b/>
          <w:bCs/>
          <w:szCs w:val="28"/>
        </w:rPr>
      </w:r>
      <w:r>
        <w:rPr>
          <w:b/>
          <w:bCs/>
        </w:rPr>
      </w:r>
    </w:p>
    <w:p>
      <w:pPr>
        <w:pStyle w:val="1005"/>
        <w:ind w:left="0"/>
        <w:spacing w:line="276" w:lineRule="auto"/>
        <w:rPr>
          <w:b/>
          <w:bCs/>
        </w:rPr>
      </w:pPr>
      <w:r>
        <w:rPr>
          <w:b/>
          <w:bCs/>
          <w:szCs w:val="28"/>
        </w:rPr>
        <w:t xml:space="preserve">муниципального образования</w:t>
      </w:r>
      <w:r>
        <w:rPr>
          <w:b/>
          <w:bCs/>
          <w:szCs w:val="28"/>
        </w:rPr>
      </w:r>
      <w:r>
        <w:rPr>
          <w:b/>
          <w:bCs/>
        </w:rPr>
      </w:r>
    </w:p>
    <w:p>
      <w:r/>
      <w:r/>
    </w:p>
    <w:p>
      <w:pPr>
        <w:pStyle w:val="1029"/>
        <w:ind w:firstLine="709"/>
        <w:jc w:val="both"/>
        <w:spacing w:before="0" w:beforeAutospacing="0" w:after="0" w:afterAutospacing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Разработка стратегии развития муниципального образования в качестве основной идеи включает установление миссии муниципального образования, его предназначения, стратегического статуса (типа) в будущем.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9"/>
        <w:ind w:firstLine="709"/>
        <w:jc w:val="both"/>
        <w:spacing w:before="0" w:beforeAutospacing="0" w:after="0" w:afterAutospacing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Миссия муниципального образования</w:t>
      </w:r>
      <w:r>
        <w:rPr>
          <w:sz w:val="28"/>
          <w:szCs w:val="28"/>
        </w:rPr>
        <w:t xml:space="preserve"> - это две взаимосвязанные стороны едино</w:t>
      </w:r>
      <w:r>
        <w:rPr>
          <w:sz w:val="28"/>
          <w:szCs w:val="28"/>
        </w:rPr>
        <w:t xml:space="preserve">г</w:t>
      </w:r>
      <w:r>
        <w:rPr>
          <w:sz w:val="28"/>
          <w:szCs w:val="28"/>
        </w:rPr>
        <w:t xml:space="preserve">о целого: во-первых, с учетом внешней среды, т. е. места района в региональном и федеральном контексте; во-вторых, с учетом внутренней среды, которая определяет специфику муниципалитета, его характеристики, связанные с обеспечением достойной жизни граждан.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9"/>
        <w:ind w:firstLine="709"/>
        <w:jc w:val="both"/>
        <w:spacing w:before="0" w:beforeAutospacing="0" w:after="0" w:afterAutospacing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Выдвижение миссии осущ</w:t>
      </w:r>
      <w:r>
        <w:rPr>
          <w:sz w:val="28"/>
          <w:szCs w:val="28"/>
        </w:rPr>
        <w:t xml:space="preserve">ествлялось на основе алгоритма,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оединяющего в единую логическую </w:t>
      </w:r>
      <w:r>
        <w:rPr>
          <w:sz w:val="28"/>
          <w:szCs w:val="28"/>
        </w:rPr>
        <w:t xml:space="preserve">последовательность </w:t>
      </w:r>
      <w:hyperlink r:id="rId30" w:tooltip="Глобализация" w:history="1">
        <w:r>
          <w:rPr>
            <w:sz w:val="28"/>
            <w:szCs w:val="28"/>
          </w:rPr>
          <w:t xml:space="preserve">глобализацию</w:t>
        </w:r>
      </w:hyperlink>
      <w:r>
        <w:rPr>
          <w:sz w:val="28"/>
          <w:szCs w:val="28"/>
        </w:rPr>
        <w:t xml:space="preserve"> соц</w:t>
      </w:r>
      <w:r>
        <w:rPr>
          <w:sz w:val="28"/>
          <w:szCs w:val="28"/>
        </w:rPr>
        <w:t xml:space="preserve">иально-экономических процессов, </w:t>
      </w:r>
      <w:r>
        <w:rPr>
          <w:sz w:val="28"/>
          <w:szCs w:val="28"/>
        </w:rPr>
        <w:t xml:space="preserve">главные особенности и приоритеты </w:t>
      </w:r>
      <w:hyperlink r:id="rId31" w:tooltip="Социально-экономическое развитие" w:history="1">
        <w:r>
          <w:rPr>
            <w:sz w:val="28"/>
            <w:szCs w:val="28"/>
          </w:rPr>
          <w:t xml:space="preserve">социально-экономического развития</w:t>
        </w:r>
      </w:hyperlink>
      <w:r>
        <w:rPr>
          <w:sz w:val="28"/>
          <w:szCs w:val="28"/>
        </w:rPr>
        <w:t xml:space="preserve"> страны и региона, сложившиеся тенденции  развития, накопленный потенциал, которые, в общем, задают определенные границы для траектории (вектора) движения муниципального образования </w:t>
      </w:r>
      <w:r>
        <w:rPr>
          <w:sz w:val="28"/>
          <w:szCs w:val="28"/>
        </w:rPr>
        <w:t xml:space="preserve"> в будущее и оказывают существенное влияние на целевую направленность стратегического </w:t>
      </w:r>
      <w:r>
        <w:rPr>
          <w:sz w:val="28"/>
          <w:szCs w:val="28"/>
        </w:rPr>
        <w:t xml:space="preserve">развития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9"/>
        <w:ind w:firstLine="709"/>
        <w:jc w:val="both"/>
        <w:spacing w:before="0" w:beforeAutospacing="0" w:after="0" w:afterAutospacing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Миссия муниципального образования</w:t>
      </w:r>
      <w:r>
        <w:rPr>
          <w:sz w:val="28"/>
          <w:szCs w:val="28"/>
        </w:rPr>
        <w:t xml:space="preserve"> рассматривается не как конечный, застывший результат, а как растянутый во времени сложный динамичный процесс, включающий все стороны функционирования и развития муниципалитета.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9"/>
        <w:ind w:firstLine="709"/>
        <w:jc w:val="both"/>
        <w:spacing w:before="0" w:beforeAutospacing="0" w:after="0" w:afterAutospacing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Исходя из приве</w:t>
      </w:r>
      <w:r>
        <w:rPr>
          <w:sz w:val="28"/>
          <w:szCs w:val="28"/>
        </w:rPr>
        <w:t xml:space="preserve">денных выше принципов, миссия муниципального образования в обозримой перспективе видится, как трансформация из исторически сложившейся индустриально-аграрной территории в современный многофункциональный комплекс, способный вывести муниципальное образование</w:t>
      </w:r>
      <w:r>
        <w:rPr>
          <w:sz w:val="28"/>
          <w:szCs w:val="28"/>
        </w:rPr>
        <w:t xml:space="preserve"> в лидеры экономического и социального развития среди районов </w:t>
      </w:r>
      <w:hyperlink r:id="rId32" w:tooltip="Воронежская обл." w:history="1">
        <w:r>
          <w:rPr>
            <w:sz w:val="28"/>
            <w:szCs w:val="28"/>
          </w:rPr>
          <w:t xml:space="preserve">Белгородской</w:t>
        </w:r>
        <w:r>
          <w:rPr>
            <w:sz w:val="28"/>
            <w:szCs w:val="28"/>
          </w:rPr>
          <w:t xml:space="preserve"> области</w:t>
        </w:r>
      </w:hyperlink>
      <w:r>
        <w:rPr>
          <w:sz w:val="28"/>
          <w:szCs w:val="28"/>
        </w:rPr>
        <w:t xml:space="preserve">, встроить в новейшие инновационные федеральные и региональные процессы и создать комфортную среду обитания для его жителей.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9"/>
        <w:ind w:firstLine="709"/>
        <w:jc w:val="both"/>
        <w:spacing w:before="0" w:beforeAutospacing="0" w:after="0" w:afterAutospacing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Миссия муниципально</w:t>
      </w:r>
      <w:r>
        <w:rPr>
          <w:sz w:val="28"/>
          <w:szCs w:val="28"/>
        </w:rPr>
        <w:t xml:space="preserve">го образования позволит оценить его конкурентные возможности в разделении труда разного уровня, покажет, чем район может и должен быть полезен разным группам его жителей, поможет экономно распределять ресурсы и принимать эффективные управленческие решения.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9"/>
        <w:ind w:firstLine="709"/>
        <w:jc w:val="both"/>
        <w:spacing w:before="0" w:beforeAutospacing="0" w:after="0" w:afterAutospacing="0"/>
        <w:shd w:val="clear" w:color="auto" w:fill="ffffff"/>
        <w:rPr>
          <w:b/>
          <w:sz w:val="28"/>
          <w:szCs w:val="28"/>
        </w:rPr>
      </w:pPr>
      <w:r>
        <w:rPr>
          <w:sz w:val="28"/>
          <w:szCs w:val="28"/>
        </w:rPr>
        <w:t xml:space="preserve">Девизом стратегического развития муниципального образования</w:t>
      </w:r>
      <w:r>
        <w:rPr>
          <w:sz w:val="28"/>
          <w:szCs w:val="28"/>
        </w:rPr>
        <w:t xml:space="preserve"> может быть: </w:t>
      </w:r>
      <w:r>
        <w:rPr>
          <w:b/>
          <w:sz w:val="28"/>
          <w:szCs w:val="28"/>
        </w:rPr>
        <w:t xml:space="preserve">«</w:t>
      </w:r>
      <w:r>
        <w:rPr>
          <w:b/>
          <w:sz w:val="28"/>
          <w:szCs w:val="28"/>
        </w:rPr>
        <w:t xml:space="preserve">Знани</w:t>
      </w:r>
      <w:r>
        <w:rPr>
          <w:b/>
          <w:sz w:val="28"/>
          <w:szCs w:val="28"/>
        </w:rPr>
        <w:t xml:space="preserve">я</w:t>
      </w:r>
      <w:r>
        <w:rPr>
          <w:b/>
          <w:sz w:val="28"/>
          <w:szCs w:val="28"/>
        </w:rPr>
        <w:t xml:space="preserve">, опыт и труд </w:t>
      </w:r>
      <w:r>
        <w:rPr>
          <w:b/>
          <w:sz w:val="28"/>
          <w:szCs w:val="28"/>
        </w:rPr>
        <w:t xml:space="preserve">- </w:t>
      </w:r>
      <w:r>
        <w:rPr>
          <w:b/>
          <w:sz w:val="28"/>
          <w:szCs w:val="28"/>
        </w:rPr>
        <w:t xml:space="preserve">на благо развития малой Родины</w:t>
      </w:r>
      <w:r>
        <w:rPr>
          <w:b/>
          <w:sz w:val="28"/>
          <w:szCs w:val="28"/>
        </w:rPr>
        <w:t xml:space="preserve">!</w:t>
      </w:r>
      <w:r>
        <w:rPr>
          <w:b/>
          <w:sz w:val="28"/>
          <w:szCs w:val="28"/>
        </w:rPr>
        <w:t xml:space="preserve">»</w:t>
      </w:r>
      <w:r>
        <w:rPr>
          <w:b/>
          <w:sz w:val="28"/>
          <w:szCs w:val="28"/>
        </w:rPr>
        <w:t xml:space="preserve">.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029"/>
        <w:ind w:firstLine="709"/>
        <w:jc w:val="both"/>
        <w:spacing w:before="0" w:beforeAutospacing="0" w:after="0" w:afterAutospacing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Определение миссии муниципального образования</w:t>
      </w:r>
      <w:r>
        <w:rPr>
          <w:sz w:val="28"/>
          <w:szCs w:val="28"/>
        </w:rPr>
        <w:t xml:space="preserve"> послужило необходимым условием для формулирования главной цели развития муниципалитета.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9"/>
        <w:ind w:firstLine="709"/>
        <w:jc w:val="both"/>
        <w:spacing w:before="0" w:beforeAutospacing="0" w:after="0" w:afterAutospacing="0"/>
        <w:rPr>
          <w:b/>
          <w:bCs/>
          <w:iCs/>
          <w:sz w:val="28"/>
          <w:szCs w:val="28"/>
        </w:rPr>
      </w:pPr>
      <w:r>
        <w:rPr>
          <w:sz w:val="28"/>
          <w:szCs w:val="28"/>
        </w:rPr>
        <w:t xml:space="preserve">С уч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том выявленных конкурентных преимуществ, исторически сложившейся ситуации, природных особенностей, географического положения, а также основных потенциальных возможностей и стремлений </w:t>
      </w:r>
      <w:r>
        <w:rPr>
          <w:sz w:val="28"/>
          <w:szCs w:val="28"/>
        </w:rPr>
        <w:t xml:space="preserve">жителей территории, выявленных в процессе формирования стратегии муниципального образования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основная</w:t>
      </w:r>
      <w:r>
        <w:rPr>
          <w:sz w:val="28"/>
          <w:szCs w:val="28"/>
        </w:rPr>
        <w:t xml:space="preserve"> стратегическая</w:t>
      </w:r>
      <w:r>
        <w:rPr>
          <w:sz w:val="28"/>
          <w:szCs w:val="28"/>
        </w:rPr>
        <w:t xml:space="preserve"> цель </w:t>
      </w:r>
      <w:r>
        <w:rPr>
          <w:bCs/>
          <w:iCs/>
          <w:color w:val="000000"/>
          <w:sz w:val="28"/>
          <w:szCs w:val="28"/>
        </w:rPr>
        <w:t xml:space="preserve">развития муниципального образования</w:t>
      </w:r>
      <w:r>
        <w:rPr>
          <w:b/>
          <w:bCs/>
          <w:iCs/>
          <w:color w:val="000000"/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повышение благосостояния населения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 основе всестороннего использования внутреннего потенциала муниципального образования, развития социальной инфраструктуры и бизнеса</w:t>
      </w:r>
      <w:r>
        <w:rPr>
          <w:b/>
          <w:bCs/>
          <w:iCs/>
          <w:sz w:val="28"/>
          <w:szCs w:val="28"/>
        </w:rPr>
        <w:t xml:space="preserve">.</w:t>
      </w:r>
      <w:r>
        <w:rPr>
          <w:b/>
          <w:bCs/>
          <w:iCs/>
          <w:sz w:val="28"/>
          <w:szCs w:val="28"/>
        </w:rPr>
      </w:r>
      <w:r>
        <w:rPr>
          <w:b/>
          <w:bCs/>
          <w:iCs/>
          <w:sz w:val="28"/>
          <w:szCs w:val="28"/>
        </w:rPr>
      </w:r>
    </w:p>
    <w:p>
      <w:pPr>
        <w:pStyle w:val="1038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Анализируя возможные направления развития, необходимо выде</w:t>
      </w:r>
      <w:r>
        <w:rPr>
          <w:sz w:val="28"/>
          <w:szCs w:val="28"/>
        </w:rPr>
        <w:t xml:space="preserve">лить наиболее перспективные из них, которые могут быть реально осуществимы с учетом сложившейся ситуации, тенденций и имеющихся или привлеченных ресурсов, дать дополнительный позитивный социально-экономический эффект и способствовать дальнейшему развитию.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миссии послужило основой для формирования стратегических </w:t>
      </w:r>
      <w:r>
        <w:rPr>
          <w:rFonts w:ascii="Times New Roman" w:hAnsi="Times New Roman"/>
          <w:sz w:val="28"/>
          <w:szCs w:val="28"/>
        </w:rPr>
        <w:t xml:space="preserve">направлений, стратегических задач и комплексов мер для их решения</w:t>
      </w:r>
      <w:r>
        <w:rPr>
          <w:rFonts w:ascii="Times New Roman" w:hAnsi="Times New Roman"/>
          <w:sz w:val="28"/>
          <w:szCs w:val="28"/>
        </w:rPr>
        <w:t xml:space="preserve">: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Развитие человеческого капитала муниципального района образования</w:t>
      </w:r>
      <w:r>
        <w:rPr>
          <w:b/>
          <w:sz w:val="28"/>
          <w:szCs w:val="28"/>
        </w:rPr>
        <w:t xml:space="preserve">.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38"/>
        <w:jc w:val="center"/>
        <w:shd w:val="clear" w:color="auto" w:fill="ffffff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t xml:space="preserve">Задачи первого стратегического направления:</w:t>
      </w:r>
      <w:r>
        <w:rPr>
          <w:b/>
          <w:color w:val="000000"/>
          <w:spacing w:val="2"/>
          <w:sz w:val="28"/>
          <w:szCs w:val="28"/>
        </w:rPr>
      </w:r>
      <w:r>
        <w:rPr>
          <w:b/>
          <w:color w:val="000000"/>
          <w:spacing w:val="2"/>
          <w:sz w:val="28"/>
          <w:szCs w:val="28"/>
        </w:rPr>
      </w:r>
    </w:p>
    <w:p>
      <w:pPr>
        <w:numPr>
          <w:ilvl w:val="0"/>
          <w:numId w:val="9"/>
        </w:numPr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лучшение демографической ситуации, и  укрепление здоровья населения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9"/>
        </w:numPr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овышение качества образования и укрепление трудового потенциала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9"/>
        </w:numPr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овышение уровня жизни и социальная защита населения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9"/>
        </w:numPr>
        <w:jc w:val="both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азвитие культурного потенциала и воспитание молодого поколения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Экономическое </w:t>
      </w:r>
      <w:r>
        <w:rPr>
          <w:b/>
          <w:sz w:val="28"/>
          <w:szCs w:val="28"/>
        </w:rPr>
        <w:t xml:space="preserve">инновационно</w:t>
      </w:r>
      <w:r>
        <w:rPr>
          <w:b/>
          <w:sz w:val="28"/>
          <w:szCs w:val="28"/>
        </w:rPr>
        <w:t xml:space="preserve">-ориентированное развитие муниципального образования.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38"/>
        <w:jc w:val="center"/>
        <w:shd w:val="clear" w:color="auto" w:fill="ffffff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t xml:space="preserve">Задачи второго стратегического направления:</w:t>
      </w:r>
      <w:r>
        <w:rPr>
          <w:b/>
          <w:color w:val="000000"/>
          <w:spacing w:val="2"/>
          <w:sz w:val="28"/>
          <w:szCs w:val="28"/>
        </w:rPr>
      </w:r>
      <w:r>
        <w:rPr>
          <w:b/>
          <w:color w:val="000000"/>
          <w:spacing w:val="2"/>
          <w:sz w:val="28"/>
          <w:szCs w:val="28"/>
        </w:rPr>
      </w:r>
    </w:p>
    <w:p>
      <w:pPr>
        <w:numPr>
          <w:ilvl w:val="0"/>
          <w:numId w:val="10"/>
        </w:numPr>
        <w:ind w:right="38"/>
        <w:shd w:val="clear" w:color="auto" w:fill="ffffff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р</w:t>
      </w:r>
      <w:r>
        <w:rPr>
          <w:bCs/>
          <w:iCs/>
          <w:color w:val="000000"/>
          <w:sz w:val="28"/>
          <w:szCs w:val="28"/>
        </w:rPr>
        <w:t xml:space="preserve">азвитие промышленных производств</w:t>
      </w:r>
      <w:r>
        <w:rPr>
          <w:bCs/>
          <w:iCs/>
          <w:color w:val="000000"/>
          <w:sz w:val="28"/>
          <w:szCs w:val="28"/>
        </w:rPr>
        <w:t xml:space="preserve">;</w:t>
      </w:r>
      <w:r>
        <w:rPr>
          <w:bCs/>
          <w:iCs/>
          <w:color w:val="000000"/>
          <w:sz w:val="28"/>
          <w:szCs w:val="28"/>
        </w:rPr>
      </w:r>
      <w:r>
        <w:rPr>
          <w:bCs/>
          <w:iCs/>
          <w:color w:val="000000"/>
          <w:sz w:val="28"/>
          <w:szCs w:val="28"/>
        </w:rPr>
      </w:r>
    </w:p>
    <w:p>
      <w:pPr>
        <w:numPr>
          <w:ilvl w:val="0"/>
          <w:numId w:val="10"/>
        </w:numPr>
        <w:ind w:right="38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азвитие сельского хозяйства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10"/>
        </w:numPr>
        <w:ind w:right="38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азвитие строительства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10"/>
        </w:numPr>
        <w:ind w:right="38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азвитие сферы услуг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10"/>
        </w:numPr>
        <w:ind w:right="38"/>
        <w:shd w:val="clear" w:color="auto" w:fill="ffffff"/>
        <w:rPr>
          <w:color w:val="000000"/>
          <w:spacing w:val="2"/>
          <w:sz w:val="28"/>
          <w:szCs w:val="28"/>
        </w:rPr>
      </w:pP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азвитие малого и среднего предпринимательства</w:t>
      </w:r>
      <w:r>
        <w:rPr>
          <w:sz w:val="28"/>
          <w:szCs w:val="28"/>
        </w:rPr>
        <w:t xml:space="preserve">;</w:t>
      </w:r>
      <w:r>
        <w:rPr>
          <w:color w:val="000000"/>
          <w:spacing w:val="2"/>
          <w:sz w:val="28"/>
          <w:szCs w:val="28"/>
        </w:rPr>
      </w:r>
      <w:r>
        <w:rPr>
          <w:color w:val="000000"/>
          <w:spacing w:val="2"/>
          <w:sz w:val="28"/>
          <w:szCs w:val="28"/>
        </w:rPr>
      </w:r>
    </w:p>
    <w:p>
      <w:pPr>
        <w:numPr>
          <w:ilvl w:val="0"/>
          <w:numId w:val="10"/>
        </w:numPr>
        <w:ind w:right="38"/>
        <w:shd w:val="clear" w:color="auto" w:fill="ffffff"/>
        <w:rPr>
          <w:color w:val="000000"/>
          <w:spacing w:val="2"/>
          <w:sz w:val="28"/>
          <w:szCs w:val="28"/>
        </w:rPr>
      </w:pP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азвитие науки и инноваций</w:t>
      </w:r>
      <w:r>
        <w:rPr>
          <w:sz w:val="28"/>
          <w:szCs w:val="28"/>
        </w:rPr>
        <w:t xml:space="preserve">.</w:t>
      </w:r>
      <w:r>
        <w:rPr>
          <w:color w:val="000000"/>
          <w:spacing w:val="2"/>
          <w:sz w:val="28"/>
          <w:szCs w:val="28"/>
        </w:rPr>
      </w:r>
      <w:r>
        <w:rPr>
          <w:color w:val="000000"/>
          <w:spacing w:val="2"/>
          <w:sz w:val="28"/>
          <w:szCs w:val="28"/>
        </w:rPr>
      </w:r>
    </w:p>
    <w:p>
      <w:pPr>
        <w:numPr>
          <w:ilvl w:val="0"/>
          <w:numId w:val="4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Повышение качества условий жизнедеятельности населения.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left="360" w:right="38"/>
        <w:jc w:val="center"/>
        <w:shd w:val="clear" w:color="auto" w:fill="ffffff"/>
        <w:rPr>
          <w:b/>
          <w:color w:val="000000"/>
          <w:spacing w:val="2"/>
          <w:sz w:val="28"/>
          <w:szCs w:val="28"/>
        </w:rPr>
      </w:pPr>
      <w:r>
        <w:rPr>
          <w:b/>
          <w:color w:val="000000"/>
          <w:spacing w:val="2"/>
          <w:sz w:val="28"/>
          <w:szCs w:val="28"/>
        </w:rPr>
        <w:t xml:space="preserve">Задачи </w:t>
      </w:r>
      <w:r>
        <w:rPr>
          <w:b/>
          <w:color w:val="000000"/>
          <w:spacing w:val="2"/>
          <w:sz w:val="28"/>
          <w:szCs w:val="28"/>
        </w:rPr>
        <w:t xml:space="preserve">третье</w:t>
      </w:r>
      <w:r>
        <w:rPr>
          <w:b/>
          <w:color w:val="000000"/>
          <w:spacing w:val="2"/>
          <w:sz w:val="28"/>
          <w:szCs w:val="28"/>
        </w:rPr>
        <w:t xml:space="preserve">го стратегического направления:</w:t>
      </w:r>
      <w:r>
        <w:rPr>
          <w:b/>
          <w:color w:val="000000"/>
          <w:spacing w:val="2"/>
          <w:sz w:val="28"/>
          <w:szCs w:val="28"/>
        </w:rPr>
      </w:r>
      <w:r>
        <w:rPr>
          <w:b/>
          <w:color w:val="000000"/>
          <w:spacing w:val="2"/>
          <w:sz w:val="28"/>
          <w:szCs w:val="28"/>
        </w:rPr>
      </w:r>
    </w:p>
    <w:p>
      <w:pPr>
        <w:numPr>
          <w:ilvl w:val="0"/>
          <w:numId w:val="11"/>
        </w:numPr>
        <w:ind w:left="709"/>
        <w:jc w:val="both"/>
        <w:spacing w:line="317" w:lineRule="exact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ачество жилищных условий, комплексное благоустройство населенных пунктов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11"/>
        </w:numPr>
        <w:ind w:left="709"/>
        <w:jc w:val="both"/>
        <w:spacing w:line="317" w:lineRule="exact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э</w:t>
      </w:r>
      <w:r>
        <w:rPr>
          <w:sz w:val="28"/>
          <w:szCs w:val="28"/>
        </w:rPr>
        <w:t xml:space="preserve">кология и рациональное природопользование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11"/>
        </w:numPr>
        <w:ind w:left="709"/>
        <w:jc w:val="both"/>
        <w:spacing w:line="317" w:lineRule="exact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у</w:t>
      </w:r>
      <w:r>
        <w:rPr>
          <w:sz w:val="28"/>
          <w:szCs w:val="28"/>
        </w:rPr>
        <w:t xml:space="preserve">крепление правопорядка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numPr>
          <w:ilvl w:val="0"/>
          <w:numId w:val="11"/>
        </w:numPr>
        <w:ind w:left="709"/>
        <w:jc w:val="both"/>
        <w:spacing w:line="317" w:lineRule="exact"/>
        <w:shd w:val="clear" w:color="auto" w:fill="ffffff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азвитие гражданского общества</w:t>
      </w:r>
      <w:r>
        <w:rPr>
          <w:sz w:val="28"/>
          <w:szCs w:val="28"/>
        </w:rPr>
        <w:t xml:space="preserve">;</w:t>
      </w:r>
      <w:r>
        <w:rPr>
          <w:color w:val="000000"/>
          <w:spacing w:val="-1"/>
          <w:sz w:val="28"/>
          <w:szCs w:val="28"/>
        </w:rPr>
      </w:r>
      <w:r>
        <w:rPr>
          <w:color w:val="000000"/>
          <w:spacing w:val="-1"/>
          <w:sz w:val="28"/>
          <w:szCs w:val="28"/>
        </w:rPr>
      </w:r>
    </w:p>
    <w:p>
      <w:pPr>
        <w:numPr>
          <w:ilvl w:val="0"/>
          <w:numId w:val="11"/>
        </w:numPr>
        <w:ind w:left="709"/>
        <w:jc w:val="both"/>
        <w:spacing w:line="317" w:lineRule="exact"/>
        <w:shd w:val="clear" w:color="auto" w:fill="ffffff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ространственное  развитие</w:t>
      </w:r>
      <w:r>
        <w:rPr>
          <w:sz w:val="28"/>
          <w:szCs w:val="28"/>
        </w:rPr>
        <w:t xml:space="preserve">.</w:t>
      </w:r>
      <w:r>
        <w:rPr>
          <w:color w:val="000000"/>
          <w:spacing w:val="-1"/>
          <w:sz w:val="28"/>
          <w:szCs w:val="28"/>
        </w:rPr>
      </w:r>
      <w:r>
        <w:rPr>
          <w:color w:val="000000"/>
          <w:spacing w:val="-1"/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numPr>
          <w:ilvl w:val="1"/>
          <w:numId w:val="8"/>
        </w:numPr>
        <w:ind w:left="283" w:right="0" w:firstLine="0"/>
        <w:jc w:val="center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Выбор сценария развития муниципального образования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Исходя из оценки стартовых условий функционирования отдельных отраслей социальной сферы района, потенциала для их развития в </w:t>
      </w:r>
      <w:r>
        <w:rPr>
          <w:iCs/>
          <w:sz w:val="28"/>
          <w:szCs w:val="28"/>
        </w:rPr>
        <w:t xml:space="preserve">долгосрочной перспективе и возможностей </w:t>
      </w:r>
      <w:r>
        <w:rPr>
          <w:iCs/>
          <w:sz w:val="28"/>
          <w:szCs w:val="28"/>
        </w:rPr>
        <w:t xml:space="preserve">а</w:t>
      </w:r>
      <w:r>
        <w:rPr>
          <w:iCs/>
          <w:sz w:val="28"/>
          <w:szCs w:val="28"/>
        </w:rPr>
        <w:t xml:space="preserve">дминистрации муниципального образования</w:t>
      </w:r>
      <w:r>
        <w:rPr>
          <w:iCs/>
          <w:sz w:val="28"/>
          <w:szCs w:val="28"/>
        </w:rPr>
        <w:t xml:space="preserve"> повлиять на данный уровень развития были определены следующие приоритеты, на которых должно быть сфокусировано внимание</w:t>
      </w:r>
      <w:r>
        <w:rPr>
          <w:iCs/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rStyle w:val="1286"/>
        </w:rPr>
      </w:r>
      <w:r>
        <w:rPr>
          <w:rStyle w:val="128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286500" cy="2286873"/>
                <wp:effectExtent l="0" t="0" r="0" b="0"/>
                <wp:docPr id="11" name="_x0000_s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86500" cy="2286873"/>
                          <a:chOff x="0" y="0"/>
                          <a:chExt cx="6286500" cy="2286873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1486058" cy="1486729"/>
                          </a:xfrm>
                          <a:prstGeom prst="rect">
                            <a:avLst/>
                          </a:prstGeom>
                          <a:solidFill>
                            <a:srgbClr val="C4591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ind w:right="60"/>
                                <w:jc w:val="center"/>
                                <w:shd w:val="clear" w:color="auto" w:fill="ffff99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Создание оптимальных условий для повышения качества образования, 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расширениедоступности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 образовательных услуг 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для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</w:p>
                            <w:p>
                              <w:pPr>
                                <w:ind w:right="60"/>
                                <w:jc w:val="center"/>
                                <w:shd w:val="clear" w:color="auto" w:fill="ffff99"/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населения </w:t>
                              </w:r>
                              <w:r/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1" name=""/>
                        <wps:cNvSpPr/>
                        <wps:spPr bwMode="auto">
                          <a:xfrm>
                            <a:off x="1600437" y="0"/>
                            <a:ext cx="1257300" cy="1486729"/>
                          </a:xfrm>
                          <a:prstGeom prst="rect">
                            <a:avLst/>
                          </a:prstGeom>
                          <a:solidFill>
                            <a:srgbClr val="C4591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ind w:right="60"/>
                                <w:jc w:val="center"/>
                                <w:shd w:val="clear" w:color="auto" w:fill="ffff99"/>
                                <w:rPr>
                                  <w:rStyle w:val="1286"/>
                                  <w:iCs w:val="0"/>
                                  <w:sz w:val="20"/>
                                </w:rPr>
                              </w:pPr>
                              <w:r>
                                <w:rPr>
                                  <w:rStyle w:val="1286"/>
                                  <w:sz w:val="20"/>
                                </w:rPr>
                                <w:t xml:space="preserve">Обеспечение</w:t>
                              </w:r>
                              <w:r>
                                <w:rPr>
                                  <w:rStyle w:val="1286"/>
                                  <w:iCs w:val="0"/>
                                  <w:sz w:val="20"/>
                                </w:rPr>
                              </w:r>
                              <w:r>
                                <w:rPr>
                                  <w:rStyle w:val="1286"/>
                                  <w:iCs w:val="0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right="60"/>
                                <w:jc w:val="center"/>
                                <w:shd w:val="clear" w:color="auto" w:fill="ffff99"/>
                                <w:rPr>
                                  <w:rStyle w:val="1286"/>
                                  <w:iCs w:val="0"/>
                                  <w:sz w:val="20"/>
                                </w:rPr>
                              </w:pPr>
                              <w:r>
                                <w:rPr>
                                  <w:rStyle w:val="1286"/>
                                  <w:sz w:val="20"/>
                                </w:rPr>
                                <w:t xml:space="preserve">доступности жилья для граждан,</w:t>
                              </w:r>
                              <w:r>
                                <w:rPr>
                                  <w:rStyle w:val="1286"/>
                                  <w:iCs w:val="0"/>
                                  <w:sz w:val="20"/>
                                </w:rPr>
                              </w:r>
                              <w:r>
                                <w:rPr>
                                  <w:rStyle w:val="1286"/>
                                  <w:iCs w:val="0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right="60"/>
                                <w:jc w:val="center"/>
                                <w:shd w:val="clear" w:color="auto" w:fill="ffff99"/>
                                <w:rPr>
                                  <w:rStyle w:val="1286"/>
                                  <w:iCs w:val="0"/>
                                  <w:sz w:val="20"/>
                                </w:rPr>
                              </w:pPr>
                              <w:r>
                                <w:rPr>
                                  <w:rStyle w:val="1286"/>
                                  <w:sz w:val="20"/>
                                </w:rPr>
                                <w:t xml:space="preserve">создание </w:t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  <w:t xml:space="preserve">безопасных</w:t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  <w:t xml:space="preserve"> и комфортных</w:t>
                              </w:r>
                              <w:r>
                                <w:rPr>
                                  <w:rStyle w:val="1286"/>
                                  <w:iCs w:val="0"/>
                                  <w:sz w:val="20"/>
                                </w:rPr>
                              </w:r>
                              <w:r>
                                <w:rPr>
                                  <w:rStyle w:val="1286"/>
                                  <w:iCs w:val="0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right="60"/>
                                <w:jc w:val="center"/>
                                <w:shd w:val="clear" w:color="auto" w:fill="ffff99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Style w:val="1286"/>
                                  <w:sz w:val="20"/>
                                </w:rPr>
                                <w:t xml:space="preserve">условий проживания в нем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2" name=""/>
                        <wps:cNvSpPr/>
                        <wps:spPr bwMode="auto">
                          <a:xfrm>
                            <a:off x="2971244" y="0"/>
                            <a:ext cx="1028540" cy="1486729"/>
                          </a:xfrm>
                          <a:prstGeom prst="rect">
                            <a:avLst/>
                          </a:prstGeom>
                          <a:solidFill>
                            <a:srgbClr val="C4591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shd w:val="clear" w:color="auto" w:fill="ffff99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hd w:val="clear" w:color="auto" w:fill="ffff99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Повышение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hd w:val="clear" w:color="auto" w:fill="ffff99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качества и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hd w:val="clear" w:color="auto" w:fill="ffff99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доступности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hd w:val="clear" w:color="auto" w:fill="ffff99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медицинских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hd w:val="clear" w:color="auto" w:fill="ffff99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услуг,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hd w:val="clear" w:color="auto" w:fill="ffff99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расширение</w:t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</w:r>
                            </w:p>
                            <w:p>
                              <w:pPr>
                                <w:jc w:val="center"/>
                                <w:shd w:val="clear" w:color="auto" w:fill="ffff99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их спектра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3" name=""/>
                        <wps:cNvSpPr/>
                        <wps:spPr bwMode="auto">
                          <a:xfrm>
                            <a:off x="4115037" y="0"/>
                            <a:ext cx="1142047" cy="1486729"/>
                          </a:xfrm>
                          <a:prstGeom prst="rect">
                            <a:avLst/>
                          </a:prstGeom>
                          <a:solidFill>
                            <a:srgbClr val="C4591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pStyle w:val="1036"/>
                                <w:jc w:val="center"/>
                                <w:shd w:val="clear" w:color="auto" w:fill="ffff99"/>
                                <w:rPr>
                                  <w:rStyle w:val="1286"/>
                                  <w:iCs w:val="0"/>
                                </w:rPr>
                              </w:pPr>
                              <w:r>
                                <w:rPr>
                                  <w:iCs w:val="0"/>
                                </w:rPr>
                              </w:r>
                              <w:r>
                                <w:rPr>
                                  <w:rStyle w:val="1286"/>
                                  <w:iCs w:val="0"/>
                                </w:rPr>
                              </w:r>
                              <w:r>
                                <w:rPr>
                                  <w:rStyle w:val="1286"/>
                                  <w:iCs w:val="0"/>
                                </w:rPr>
                              </w:r>
                            </w:p>
                            <w:p>
                              <w:pPr>
                                <w:ind w:right="60"/>
                                <w:jc w:val="center"/>
                                <w:shd w:val="clear" w:color="auto" w:fill="ffff99"/>
                                <w:rPr>
                                  <w:rStyle w:val="1286"/>
                                  <w:sz w:val="20"/>
                                </w:rPr>
                              </w:pPr>
                              <w:r>
                                <w:rPr>
                                  <w:rStyle w:val="1286"/>
                                  <w:sz w:val="20"/>
                                </w:rPr>
                                <w:t xml:space="preserve">Повышение </w:t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right="60"/>
                                <w:jc w:val="center"/>
                                <w:shd w:val="clear" w:color="auto" w:fill="ffff99"/>
                                <w:rPr>
                                  <w:rStyle w:val="1286"/>
                                  <w:sz w:val="20"/>
                                </w:rPr>
                              </w:pPr>
                              <w:r>
                                <w:rPr>
                                  <w:rStyle w:val="1286"/>
                                  <w:sz w:val="20"/>
                                </w:rPr>
                                <w:t xml:space="preserve">качества и </w:t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right="60"/>
                                <w:jc w:val="center"/>
                                <w:shd w:val="clear" w:color="auto" w:fill="ffff99"/>
                                <w:rPr>
                                  <w:rStyle w:val="1286"/>
                                  <w:sz w:val="20"/>
                                </w:rPr>
                              </w:pPr>
                              <w:r>
                                <w:rPr>
                                  <w:rStyle w:val="1286"/>
                                  <w:sz w:val="20"/>
                                </w:rPr>
                                <w:t xml:space="preserve">доступности </w:t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right="60"/>
                                <w:jc w:val="center"/>
                                <w:shd w:val="clear" w:color="auto" w:fill="ffff99"/>
                                <w:rPr>
                                  <w:rStyle w:val="1286"/>
                                  <w:sz w:val="20"/>
                                </w:rPr>
                              </w:pPr>
                              <w:r>
                                <w:rPr>
                                  <w:rStyle w:val="1286"/>
                                  <w:sz w:val="20"/>
                                </w:rPr>
                                <w:t xml:space="preserve">культурных и </w:t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right="60"/>
                                <w:jc w:val="center"/>
                                <w:shd w:val="clear" w:color="auto" w:fill="ffff99"/>
                                <w:rPr>
                                  <w:rStyle w:val="1286"/>
                                  <w:sz w:val="20"/>
                                </w:rPr>
                              </w:pPr>
                              <w:r>
                                <w:rPr>
                                  <w:rStyle w:val="1286"/>
                                  <w:sz w:val="20"/>
                                </w:rPr>
                                <w:t xml:space="preserve">информационных услуг </w:t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  <w:t xml:space="preserve">для</w:t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right="60"/>
                                <w:jc w:val="center"/>
                                <w:shd w:val="clear" w:color="auto" w:fill="ffff99"/>
                                <w:rPr>
                                  <w:rStyle w:val="1286"/>
                                  <w:sz w:val="20"/>
                                </w:rPr>
                              </w:pPr>
                              <w:r>
                                <w:rPr>
                                  <w:rStyle w:val="1286"/>
                                  <w:sz w:val="20"/>
                                </w:rPr>
                                <w:t xml:space="preserve">населениярайона</w:t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</w:r>
                            </w:p>
                            <w:p>
                              <w:pPr>
                                <w:shd w:val="clear" w:color="auto" w:fill="ffff99"/>
                              </w:pPr>
                              <w:r/>
                              <w:r/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5372337" y="0"/>
                            <a:ext cx="914161" cy="1486729"/>
                          </a:xfrm>
                          <a:prstGeom prst="rect">
                            <a:avLst/>
                          </a:prstGeom>
                          <a:solidFill>
                            <a:srgbClr val="C4591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pStyle w:val="1036"/>
                                <w:jc w:val="center"/>
                                <w:shd w:val="clear" w:color="auto" w:fill="ffff99"/>
                                <w:rPr>
                                  <w:rStyle w:val="1286"/>
                                  <w:iCs w:val="0"/>
                                </w:rPr>
                              </w:pPr>
                              <w:r>
                                <w:rPr>
                                  <w:iCs w:val="0"/>
                                </w:rPr>
                              </w:r>
                              <w:r>
                                <w:rPr>
                                  <w:rStyle w:val="1286"/>
                                  <w:iCs w:val="0"/>
                                </w:rPr>
                              </w:r>
                              <w:r>
                                <w:rPr>
                                  <w:rStyle w:val="1286"/>
                                  <w:iCs w:val="0"/>
                                </w:rPr>
                              </w:r>
                            </w:p>
                            <w:p>
                              <w:pPr>
                                <w:pStyle w:val="1036"/>
                                <w:jc w:val="center"/>
                                <w:shd w:val="clear" w:color="auto" w:fill="ffff99"/>
                                <w:rPr>
                                  <w:rStyle w:val="1286"/>
                                  <w:sz w:val="20"/>
                                </w:rPr>
                              </w:pPr>
                              <w:r>
                                <w:rPr>
                                  <w:rStyle w:val="1286"/>
                                  <w:sz w:val="20"/>
                                </w:rPr>
                                <w:t xml:space="preserve">Поддержка и развитие малого и среднего </w:t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  <w:t xml:space="preserve">предпринима-тельства</w:t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</w:r>
                              <w:r>
                                <w:rPr>
                                  <w:rStyle w:val="1286"/>
                                  <w:sz w:val="20"/>
                                </w:rPr>
                              </w:r>
                            </w:p>
                            <w:p>
                              <w:pPr>
                                <w:shd w:val="clear" w:color="auto" w:fill="ffff99"/>
                              </w:pPr>
                              <w:r/>
                              <w:r/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5" name=""/>
                        <wps:cNvSpPr/>
                        <wps:spPr bwMode="auto">
                          <a:xfrm flipH="0" flipV="0">
                            <a:off x="178139" y="1829149"/>
                            <a:ext cx="5905499" cy="457723"/>
                          </a:xfrm>
                          <a:prstGeom prst="rect">
                            <a:avLst/>
                          </a:prstGeom>
                          <a:solidFill>
                            <a:srgbClr val="C45911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shd w:val="clear" w:color="auto" w:fill="ffff99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 xml:space="preserve">Приоритетные направления развития муниципального образования</w:t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</w:r>
                              <w:r>
                                <w:rPr>
                                  <w:sz w:val="36"/>
                                  <w:szCs w:val="36"/>
                                </w:rPr>
                              </w:r>
                            </w:p>
                          </w:txbxContent>
                        </wps:txbx>
                        <wps:bodyPr wrap="square" upright="1"/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685402" y="1486729"/>
                            <a:ext cx="343137" cy="342419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  <a:headEnd type="triangle"/>
                            <a:tailEnd type="triangle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2171461" y="1486729"/>
                            <a:ext cx="0" cy="342419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  <a:headEnd type="triangle"/>
                            <a:tailEnd type="triangle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"/>
                        <wps:cNvSpPr/>
                        <wps:spPr bwMode="auto">
                          <a:xfrm>
                            <a:off x="3428761" y="1486729"/>
                            <a:ext cx="0" cy="342419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  <a:headEnd type="triangle"/>
                            <a:tailEnd type="triangle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"/>
                        <wps:cNvSpPr/>
                        <wps:spPr bwMode="auto">
                          <a:xfrm>
                            <a:off x="4686061" y="1486729"/>
                            <a:ext cx="0" cy="342419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  <a:headEnd type="triangle"/>
                            <a:tailEnd type="triangle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"/>
                        <wps:cNvSpPr/>
                        <wps:spPr bwMode="auto">
                          <a:xfrm flipH="1">
                            <a:off x="5486717" y="1486729"/>
                            <a:ext cx="342264" cy="342419"/>
                          </a:xfrm>
                          <a:prstGeom prst="lin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000000"/>
                            </a:solidFill>
                            <a:headEnd type="triangle"/>
                            <a:tailEnd type="triangle"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0000" style="width:495.00pt;height:180.07pt;mso-wrap-distance-left:0.00pt;mso-wrap-distance-top:0.00pt;mso-wrap-distance-right:0.00pt;mso-wrap-distance-bottom:0.00pt;" coordorigin="0,0" coordsize="62865,22868">
                <v:shape id="shape 7" o:spid="_x0000_s7" o:spt="1" type="#_x0000_t1" style="position:absolute;left:0;top:0;width:14860;height:14867;visibility:visible;" fillcolor="#C45911" strokecolor="#000000">
                  <v:textbox inset="0,0,0,0">
                    <w:txbxContent>
                      <w:p>
                        <w:pPr>
                          <w:ind w:right="60"/>
                          <w:jc w:val="center"/>
                          <w:shd w:val="clear" w:color="auto" w:fill="ffff99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Создание оптимальных условий для повышения качества образования, 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расширениедоступности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 образовательных услуг 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для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ind w:right="60"/>
                          <w:jc w:val="center"/>
                          <w:shd w:val="clear" w:color="auto" w:fill="ffff99"/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населения </w:t>
                        </w:r>
                        <w:r/>
                      </w:p>
                    </w:txbxContent>
                  </v:textbox>
                </v:shape>
                <v:shape id="shape 8" o:spid="_x0000_s8" o:spt="1" type="#_x0000_t1" style="position:absolute;left:16004;top:0;width:12573;height:14867;visibility:visible;" fillcolor="#C45911" strokecolor="#000000">
                  <v:textbox inset="0,0,0,0">
                    <w:txbxContent>
                      <w:p>
                        <w:pPr>
                          <w:ind w:right="60"/>
                          <w:jc w:val="center"/>
                          <w:shd w:val="clear" w:color="auto" w:fill="ffff99"/>
                          <w:rPr>
                            <w:rStyle w:val="1286"/>
                            <w:iCs w:val="0"/>
                            <w:sz w:val="20"/>
                          </w:rPr>
                        </w:pPr>
                        <w:r>
                          <w:rPr>
                            <w:rStyle w:val="1286"/>
                            <w:sz w:val="20"/>
                          </w:rPr>
                          <w:t xml:space="preserve">Обеспечение</w:t>
                        </w:r>
                        <w:r>
                          <w:rPr>
                            <w:rStyle w:val="1286"/>
                            <w:iCs w:val="0"/>
                            <w:sz w:val="20"/>
                          </w:rPr>
                        </w:r>
                        <w:r>
                          <w:rPr>
                            <w:rStyle w:val="1286"/>
                            <w:iCs w:val="0"/>
                            <w:sz w:val="20"/>
                          </w:rPr>
                        </w:r>
                      </w:p>
                      <w:p>
                        <w:pPr>
                          <w:ind w:right="60"/>
                          <w:jc w:val="center"/>
                          <w:shd w:val="clear" w:color="auto" w:fill="ffff99"/>
                          <w:rPr>
                            <w:rStyle w:val="1286"/>
                            <w:iCs w:val="0"/>
                            <w:sz w:val="20"/>
                          </w:rPr>
                        </w:pPr>
                        <w:r>
                          <w:rPr>
                            <w:rStyle w:val="1286"/>
                            <w:sz w:val="20"/>
                          </w:rPr>
                          <w:t xml:space="preserve">доступности жилья для граждан,</w:t>
                        </w:r>
                        <w:r>
                          <w:rPr>
                            <w:rStyle w:val="1286"/>
                            <w:iCs w:val="0"/>
                            <w:sz w:val="20"/>
                          </w:rPr>
                        </w:r>
                        <w:r>
                          <w:rPr>
                            <w:rStyle w:val="1286"/>
                            <w:iCs w:val="0"/>
                            <w:sz w:val="20"/>
                          </w:rPr>
                        </w:r>
                      </w:p>
                      <w:p>
                        <w:pPr>
                          <w:ind w:right="60"/>
                          <w:jc w:val="center"/>
                          <w:shd w:val="clear" w:color="auto" w:fill="ffff99"/>
                          <w:rPr>
                            <w:rStyle w:val="1286"/>
                            <w:iCs w:val="0"/>
                            <w:sz w:val="20"/>
                          </w:rPr>
                        </w:pPr>
                        <w:r>
                          <w:rPr>
                            <w:rStyle w:val="1286"/>
                            <w:sz w:val="20"/>
                          </w:rPr>
                          <w:t xml:space="preserve">создание </w:t>
                        </w:r>
                        <w:r>
                          <w:rPr>
                            <w:rStyle w:val="1286"/>
                            <w:sz w:val="20"/>
                          </w:rPr>
                          <w:t xml:space="preserve">безопасных</w:t>
                        </w:r>
                        <w:r>
                          <w:rPr>
                            <w:rStyle w:val="1286"/>
                            <w:sz w:val="20"/>
                          </w:rPr>
                          <w:t xml:space="preserve"> и комфортных</w:t>
                        </w:r>
                        <w:r>
                          <w:rPr>
                            <w:rStyle w:val="1286"/>
                            <w:iCs w:val="0"/>
                            <w:sz w:val="20"/>
                          </w:rPr>
                        </w:r>
                        <w:r>
                          <w:rPr>
                            <w:rStyle w:val="1286"/>
                            <w:iCs w:val="0"/>
                            <w:sz w:val="20"/>
                          </w:rPr>
                        </w:r>
                      </w:p>
                      <w:p>
                        <w:pPr>
                          <w:ind w:right="60"/>
                          <w:jc w:val="center"/>
                          <w:shd w:val="clear" w:color="auto" w:fill="ffff9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Style w:val="1286"/>
                            <w:sz w:val="20"/>
                          </w:rPr>
                          <w:t xml:space="preserve">условий проживания в нем</w:t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</w:p>
                    </w:txbxContent>
                  </v:textbox>
                </v:shape>
                <v:shape id="shape 9" o:spid="_x0000_s9" o:spt="1" type="#_x0000_t1" style="position:absolute;left:29712;top:0;width:10285;height:14867;visibility:visible;" fillcolor="#C45911" strokecolor="#000000">
                  <v:textbox inset="0,0,0,0">
                    <w:txbxContent>
                      <w:p>
                        <w:pPr>
                          <w:jc w:val="center"/>
                          <w:shd w:val="clear" w:color="auto" w:fill="ffff99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jc w:val="center"/>
                          <w:shd w:val="clear" w:color="auto" w:fill="ffff99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Повышение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jc w:val="center"/>
                          <w:shd w:val="clear" w:color="auto" w:fill="ffff99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качества и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jc w:val="center"/>
                          <w:shd w:val="clear" w:color="auto" w:fill="ffff99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доступности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jc w:val="center"/>
                          <w:shd w:val="clear" w:color="auto" w:fill="ffff99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медицинских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jc w:val="center"/>
                          <w:shd w:val="clear" w:color="auto" w:fill="ffff99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услуг,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jc w:val="center"/>
                          <w:shd w:val="clear" w:color="auto" w:fill="ffff99"/>
                          <w:rPr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расширение</w:t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  <w:r>
                          <w:rPr>
                            <w:i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jc w:val="center"/>
                          <w:shd w:val="clear" w:color="auto" w:fill="ffff9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i/>
                            <w:sz w:val="20"/>
                            <w:szCs w:val="20"/>
                          </w:rPr>
                          <w:t xml:space="preserve">их спектра</w:t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  <w:r>
                          <w:rPr>
                            <w:sz w:val="20"/>
                            <w:szCs w:val="20"/>
                          </w:rPr>
                        </w:r>
                      </w:p>
                    </w:txbxContent>
                  </v:textbox>
                </v:shape>
                <v:shape id="shape 10" o:spid="_x0000_s10" o:spt="1" type="#_x0000_t1" style="position:absolute;left:41150;top:0;width:11420;height:14867;visibility:visible;" fillcolor="#C45911" strokecolor="#000000">
                  <v:textbox inset="0,0,0,0">
                    <w:txbxContent>
                      <w:p>
                        <w:pPr>
                          <w:pStyle w:val="1036"/>
                          <w:jc w:val="center"/>
                          <w:shd w:val="clear" w:color="auto" w:fill="ffff99"/>
                          <w:rPr>
                            <w:rStyle w:val="1286"/>
                            <w:iCs w:val="0"/>
                          </w:rPr>
                        </w:pPr>
                        <w:r>
                          <w:rPr>
                            <w:iCs w:val="0"/>
                          </w:rPr>
                        </w:r>
                        <w:r>
                          <w:rPr>
                            <w:rStyle w:val="1286"/>
                            <w:iCs w:val="0"/>
                          </w:rPr>
                        </w:r>
                        <w:r>
                          <w:rPr>
                            <w:rStyle w:val="1286"/>
                            <w:iCs w:val="0"/>
                          </w:rPr>
                        </w:r>
                      </w:p>
                      <w:p>
                        <w:pPr>
                          <w:ind w:right="60"/>
                          <w:jc w:val="center"/>
                          <w:shd w:val="clear" w:color="auto" w:fill="ffff99"/>
                          <w:rPr>
                            <w:rStyle w:val="1286"/>
                            <w:sz w:val="20"/>
                          </w:rPr>
                        </w:pPr>
                        <w:r>
                          <w:rPr>
                            <w:rStyle w:val="1286"/>
                            <w:sz w:val="20"/>
                          </w:rPr>
                          <w:t xml:space="preserve">Повышение </w:t>
                        </w:r>
                        <w:r>
                          <w:rPr>
                            <w:rStyle w:val="1286"/>
                            <w:sz w:val="20"/>
                          </w:rPr>
                        </w:r>
                        <w:r>
                          <w:rPr>
                            <w:rStyle w:val="1286"/>
                            <w:sz w:val="20"/>
                          </w:rPr>
                        </w:r>
                      </w:p>
                      <w:p>
                        <w:pPr>
                          <w:ind w:right="60"/>
                          <w:jc w:val="center"/>
                          <w:shd w:val="clear" w:color="auto" w:fill="ffff99"/>
                          <w:rPr>
                            <w:rStyle w:val="1286"/>
                            <w:sz w:val="20"/>
                          </w:rPr>
                        </w:pPr>
                        <w:r>
                          <w:rPr>
                            <w:rStyle w:val="1286"/>
                            <w:sz w:val="20"/>
                          </w:rPr>
                          <w:t xml:space="preserve">качества и </w:t>
                        </w:r>
                        <w:r>
                          <w:rPr>
                            <w:rStyle w:val="1286"/>
                            <w:sz w:val="20"/>
                          </w:rPr>
                        </w:r>
                        <w:r>
                          <w:rPr>
                            <w:rStyle w:val="1286"/>
                            <w:sz w:val="20"/>
                          </w:rPr>
                        </w:r>
                      </w:p>
                      <w:p>
                        <w:pPr>
                          <w:ind w:right="60"/>
                          <w:jc w:val="center"/>
                          <w:shd w:val="clear" w:color="auto" w:fill="ffff99"/>
                          <w:rPr>
                            <w:rStyle w:val="1286"/>
                            <w:sz w:val="20"/>
                          </w:rPr>
                        </w:pPr>
                        <w:r>
                          <w:rPr>
                            <w:rStyle w:val="1286"/>
                            <w:sz w:val="20"/>
                          </w:rPr>
                          <w:t xml:space="preserve">доступности </w:t>
                        </w:r>
                        <w:r>
                          <w:rPr>
                            <w:rStyle w:val="1286"/>
                            <w:sz w:val="20"/>
                          </w:rPr>
                        </w:r>
                        <w:r>
                          <w:rPr>
                            <w:rStyle w:val="1286"/>
                            <w:sz w:val="20"/>
                          </w:rPr>
                        </w:r>
                      </w:p>
                      <w:p>
                        <w:pPr>
                          <w:ind w:right="60"/>
                          <w:jc w:val="center"/>
                          <w:shd w:val="clear" w:color="auto" w:fill="ffff99"/>
                          <w:rPr>
                            <w:rStyle w:val="1286"/>
                            <w:sz w:val="20"/>
                          </w:rPr>
                        </w:pPr>
                        <w:r>
                          <w:rPr>
                            <w:rStyle w:val="1286"/>
                            <w:sz w:val="20"/>
                          </w:rPr>
                          <w:t xml:space="preserve">культурных и </w:t>
                        </w:r>
                        <w:r>
                          <w:rPr>
                            <w:rStyle w:val="1286"/>
                            <w:sz w:val="20"/>
                          </w:rPr>
                        </w:r>
                        <w:r>
                          <w:rPr>
                            <w:rStyle w:val="1286"/>
                            <w:sz w:val="20"/>
                          </w:rPr>
                        </w:r>
                      </w:p>
                      <w:p>
                        <w:pPr>
                          <w:ind w:right="60"/>
                          <w:jc w:val="center"/>
                          <w:shd w:val="clear" w:color="auto" w:fill="ffff99"/>
                          <w:rPr>
                            <w:rStyle w:val="1286"/>
                            <w:sz w:val="20"/>
                          </w:rPr>
                        </w:pPr>
                        <w:r>
                          <w:rPr>
                            <w:rStyle w:val="1286"/>
                            <w:sz w:val="20"/>
                          </w:rPr>
                          <w:t xml:space="preserve">информационных услуг </w:t>
                        </w:r>
                        <w:r>
                          <w:rPr>
                            <w:rStyle w:val="1286"/>
                            <w:sz w:val="20"/>
                          </w:rPr>
                          <w:t xml:space="preserve">для</w:t>
                        </w:r>
                        <w:r>
                          <w:rPr>
                            <w:rStyle w:val="1286"/>
                            <w:sz w:val="20"/>
                          </w:rPr>
                        </w:r>
                        <w:r>
                          <w:rPr>
                            <w:rStyle w:val="1286"/>
                            <w:sz w:val="20"/>
                          </w:rPr>
                        </w:r>
                      </w:p>
                      <w:p>
                        <w:pPr>
                          <w:ind w:right="60"/>
                          <w:jc w:val="center"/>
                          <w:shd w:val="clear" w:color="auto" w:fill="ffff99"/>
                          <w:rPr>
                            <w:rStyle w:val="1286"/>
                            <w:sz w:val="20"/>
                          </w:rPr>
                        </w:pPr>
                        <w:r>
                          <w:rPr>
                            <w:rStyle w:val="1286"/>
                            <w:sz w:val="20"/>
                          </w:rPr>
                          <w:t xml:space="preserve">населениярайона</w:t>
                        </w:r>
                        <w:r>
                          <w:rPr>
                            <w:rStyle w:val="1286"/>
                            <w:sz w:val="20"/>
                          </w:rPr>
                        </w:r>
                        <w:r>
                          <w:rPr>
                            <w:rStyle w:val="1286"/>
                            <w:sz w:val="20"/>
                          </w:rPr>
                        </w:r>
                      </w:p>
                      <w:p>
                        <w:pPr>
                          <w:shd w:val="clear" w:color="auto" w:fill="ffff99"/>
                        </w:pPr>
                        <w:r/>
                        <w:r/>
                      </w:p>
                    </w:txbxContent>
                  </v:textbox>
                </v:shape>
                <v:shape id="shape 11" o:spid="_x0000_s11" o:spt="1" type="#_x0000_t1" style="position:absolute;left:53723;top:0;width:9141;height:14867;visibility:visible;" fillcolor="#C45911" strokecolor="#000000">
                  <v:textbox inset="0,0,0,0">
                    <w:txbxContent>
                      <w:p>
                        <w:pPr>
                          <w:pStyle w:val="1036"/>
                          <w:jc w:val="center"/>
                          <w:shd w:val="clear" w:color="auto" w:fill="ffff99"/>
                          <w:rPr>
                            <w:rStyle w:val="1286"/>
                            <w:iCs w:val="0"/>
                          </w:rPr>
                        </w:pPr>
                        <w:r>
                          <w:rPr>
                            <w:iCs w:val="0"/>
                          </w:rPr>
                        </w:r>
                        <w:r>
                          <w:rPr>
                            <w:rStyle w:val="1286"/>
                            <w:iCs w:val="0"/>
                          </w:rPr>
                        </w:r>
                        <w:r>
                          <w:rPr>
                            <w:rStyle w:val="1286"/>
                            <w:iCs w:val="0"/>
                          </w:rPr>
                        </w:r>
                      </w:p>
                      <w:p>
                        <w:pPr>
                          <w:pStyle w:val="1036"/>
                          <w:jc w:val="center"/>
                          <w:shd w:val="clear" w:color="auto" w:fill="ffff99"/>
                          <w:rPr>
                            <w:rStyle w:val="1286"/>
                            <w:sz w:val="20"/>
                          </w:rPr>
                        </w:pPr>
                        <w:r>
                          <w:rPr>
                            <w:rStyle w:val="1286"/>
                            <w:sz w:val="20"/>
                          </w:rPr>
                          <w:t xml:space="preserve">Поддержка и развитие малого и среднего </w:t>
                        </w:r>
                        <w:r>
                          <w:rPr>
                            <w:rStyle w:val="1286"/>
                            <w:sz w:val="20"/>
                          </w:rPr>
                          <w:t xml:space="preserve">предпринима-тельства</w:t>
                        </w:r>
                        <w:r>
                          <w:rPr>
                            <w:rStyle w:val="1286"/>
                            <w:sz w:val="20"/>
                          </w:rPr>
                        </w:r>
                        <w:r>
                          <w:rPr>
                            <w:rStyle w:val="1286"/>
                            <w:sz w:val="20"/>
                          </w:rPr>
                        </w:r>
                      </w:p>
                      <w:p>
                        <w:pPr>
                          <w:shd w:val="clear" w:color="auto" w:fill="ffff99"/>
                        </w:pPr>
                        <w:r/>
                        <w:r/>
                      </w:p>
                    </w:txbxContent>
                  </v:textbox>
                </v:shape>
                <v:shape id="shape 12" o:spid="_x0000_s12" o:spt="1" type="#_x0000_t1" style="position:absolute;left:1781;top:18291;width:59054;height:4577;visibility:visible;" fillcolor="#C45911" strokecolor="#000000">
                  <v:textbox inset="0,0,0,0">
                    <w:txbxContent>
                      <w:p>
                        <w:pPr>
                          <w:jc w:val="center"/>
                          <w:shd w:val="clear" w:color="auto" w:fill="ffff99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u w:val="single"/>
                          </w:rPr>
                          <w:t xml:space="preserve">Приоритетные направления развития муниципального образования</w:t>
                        </w:r>
                        <w:r>
                          <w:rPr>
                            <w:sz w:val="36"/>
                            <w:szCs w:val="36"/>
                          </w:rPr>
                        </w:r>
                        <w:r>
                          <w:rPr>
                            <w:sz w:val="36"/>
                            <w:szCs w:val="36"/>
                          </w:rPr>
                        </w:r>
                      </w:p>
                    </w:txbxContent>
                  </v:textbox>
                </v:shape>
                <v:line id="shape 13" o:spid="_x0000_s13" style="position:absolute;left:0;text-align:left;visibility:visible;" from="1781.4pt,18291.5pt" to="60836.4pt,22868.7pt" fillcolor="#FFFFFF" strokecolor="#000000"/>
                <v:line id="shape 14" o:spid="_x0000_s14" style="position:absolute;left:0;text-align:left;visibility:visible;" from="1781.4pt,18291.5pt" to="60836.4pt,22868.7pt" fillcolor="#FFFFFF" strokecolor="#000000"/>
                <v:line id="shape 15" o:spid="_x0000_s15" style="position:absolute;left:0;text-align:left;visibility:visible;" from="1781.4pt,18291.5pt" to="60836.4pt,22868.7pt" fillcolor="#FFFFFF" strokecolor="#000000"/>
                <v:line id="shape 16" o:spid="_x0000_s16" style="position:absolute;left:0;text-align:left;visibility:visible;" from="1781.4pt,18291.5pt" to="60836.4pt,22868.7pt" fillcolor="#FFFFFF" strokecolor="#000000"/>
                <v:line id="shape 17" o:spid="_x0000_s17" style="position:absolute;left:0;text-align:left;flip:x;visibility:visible;" from="1781.4pt,18291.5pt" to="60836.4pt,22868.7pt" fillcolor="#FFFFFF" strokecolor="#000000"/>
              </v:group>
            </w:pict>
          </mc:Fallback>
        </mc:AlternateConten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058"/>
        <w:ind w:left="0" w:firstLine="709"/>
        <w:jc w:val="center"/>
        <w:spacing w:after="0"/>
        <w:rPr>
          <w:rFonts w:ascii="Times New Roman" w:hAnsi="Times New Roman" w:eastAsia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sz w:val="28"/>
          <w:szCs w:val="28"/>
          <w:lang w:eastAsia="ru-RU"/>
        </w:rPr>
        <w:t xml:space="preserve">Рис.6. Приоритетные направления развития муниципального образования</w:t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</w:r>
      <w:r>
        <w:rPr>
          <w:rFonts w:ascii="Times New Roman" w:hAnsi="Times New Roman" w:eastAsia="Times New Roman"/>
          <w:b/>
          <w:sz w:val="28"/>
          <w:szCs w:val="28"/>
          <w:lang w:eastAsia="ru-RU"/>
        </w:rPr>
      </w:r>
    </w:p>
    <w:p>
      <w:pPr>
        <w:pStyle w:val="1058"/>
        <w:ind w:left="0" w:firstLine="709"/>
        <w:jc w:val="both"/>
        <w:spacing w:after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pStyle w:val="1058"/>
        <w:ind w:left="0" w:firstLine="709"/>
        <w:jc w:val="both"/>
        <w:spacing w:after="0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Тенденция развития муниципального образования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должна напрямую соответствовать тенденциям развития Белгородской области. Поэтому выбор сценариев социально-экономического развития определяется на основе внешних и внутренних ключевых факторов.</w:t>
      </w:r>
      <w:r>
        <w:rPr>
          <w:rFonts w:ascii="Times New Roman" w:hAnsi="Times New Roman" w:eastAsia="Times New Roman"/>
          <w:sz w:val="28"/>
          <w:szCs w:val="28"/>
          <w:lang w:eastAsia="ru-RU"/>
        </w:rPr>
      </w:r>
      <w:r>
        <w:rPr>
          <w:rFonts w:ascii="Times New Roman" w:hAnsi="Times New Roman" w:eastAsia="Times New Roman"/>
          <w:sz w:val="28"/>
          <w:szCs w:val="28"/>
          <w:lang w:eastAsia="ru-RU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Инерционный сценарий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требует объединения усилий органов государственной власти области и местного самоуправления, бизнес-сообщества и населения.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Данный сценарий исходит из пре</w:t>
      </w:r>
      <w:r>
        <w:rPr>
          <w:sz w:val="28"/>
          <w:szCs w:val="28"/>
        </w:rPr>
        <w:t xml:space="preserve">дположения о том, что району в силу низкой конкурентоспособности его экономики не удастся привлечь для своего развития крупные корпоративные инвестиции. Собственники промышленных предприятий района будут в основном поддерживать и частично модернизировать с</w:t>
      </w:r>
      <w:r>
        <w:rPr>
          <w:sz w:val="28"/>
          <w:szCs w:val="28"/>
        </w:rPr>
        <w:t xml:space="preserve">уществующие производства, а в отдельных случаях закрывать явно убыточные или неперспективные. Источники финансирования, на которые следует рассчитывать при реализации инерционного сценария, ограничиваются в основном дотациями из областного бюджета (доходы </w:t>
      </w:r>
      <w:hyperlink r:id="rId33" w:tooltip="Бюджет местный" w:history="1">
        <w:r>
          <w:rPr>
            <w:sz w:val="28"/>
            <w:szCs w:val="28"/>
          </w:rPr>
          <w:t xml:space="preserve">местного бюджета</w:t>
        </w:r>
      </w:hyperlink>
      <w:r>
        <w:rPr>
          <w:sz w:val="28"/>
          <w:szCs w:val="28"/>
        </w:rPr>
        <w:t xml:space="preserve"> не покрывают даже текущих расходов) и финансированием за счет целевых региональных и федеральных программ.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за счет осуществления приоритетных национальных проектов и дотаций из областного бюджета произойдет некоторое увеличение объемов жилищного строительства, улучшится ситуация в системах образования и здравоохранения. За счет реализации областных </w:t>
      </w:r>
      <w:hyperlink r:id="rId34" w:tooltip="Целевые программы" w:history="1">
        <w:r>
          <w:rPr>
            <w:sz w:val="28"/>
            <w:szCs w:val="28"/>
          </w:rPr>
          <w:t xml:space="preserve">целевых программ</w:t>
        </w:r>
      </w:hyperlink>
      <w:r>
        <w:rPr>
          <w:sz w:val="28"/>
          <w:szCs w:val="28"/>
        </w:rPr>
        <w:t xml:space="preserve"> получит развитие сф</w:t>
      </w:r>
      <w:r>
        <w:rPr>
          <w:sz w:val="28"/>
          <w:szCs w:val="28"/>
        </w:rPr>
        <w:t xml:space="preserve">ера культуры, будет оказана поддержка развитию малого бизнеса, что обеспечит повышение занятости и увеличение налоговых поступлений в местный бюджет. При поддержке областного бюджета могут быть осуществлены отдельные мероприятия по улучшению экологической </w:t>
      </w:r>
      <w:r>
        <w:rPr>
          <w:sz w:val="28"/>
          <w:szCs w:val="28"/>
        </w:rPr>
        <w:t xml:space="preserve">ситуации, строительству объектов коммунальной инфраструктуры. Все это обеспечит определенное повышение качества жизни населения.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9"/>
        <w:ind w:firstLine="851"/>
        <w:jc w:val="both"/>
        <w:spacing w:before="0" w:beforeAutospacing="0" w:after="0" w:afterAutospacing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В то же время, основные проблемы, выявленные в ходе анализа существующей ситуации, останутся неразрешенными. </w:t>
      </w:r>
      <w:r>
        <w:rPr>
          <w:sz w:val="28"/>
          <w:szCs w:val="28"/>
        </w:rPr>
        <w:t xml:space="preserve">Объемы производства </w:t>
      </w:r>
      <w:r>
        <w:rPr>
          <w:sz w:val="28"/>
          <w:szCs w:val="28"/>
        </w:rPr>
        <w:t xml:space="preserve">увеличатся незначительно, однако при этом может происходить сокращение количества рабочих мест.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9"/>
        <w:ind w:firstLine="851"/>
        <w:jc w:val="both"/>
        <w:spacing w:before="0" w:beforeAutospacing="0" w:after="0" w:afterAutospacing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При данном сценарии не удастся существенно изменить вектор демографической ситуации в муниципалитете. Численность населения будет устойчиво снижаться и к концу перспективного периода может опуститься до 25-30 </w:t>
      </w:r>
      <w:r>
        <w:rPr>
          <w:sz w:val="28"/>
          <w:szCs w:val="28"/>
        </w:rPr>
        <w:t xml:space="preserve">тыс.</w:t>
      </w:r>
      <w:r>
        <w:rPr>
          <w:sz w:val="28"/>
          <w:szCs w:val="28"/>
        </w:rPr>
        <w:t xml:space="preserve"> человек. Увеличится доля населения пенсионного возраста. Из-за дефицита рабочих мест усилится миграция трудоспособного населения, когда жители выбирают местом работы соседние </w:t>
      </w:r>
      <w:hyperlink r:id="rId35" w:tooltip="Муниципальные образования" w:history="1">
        <w:r>
          <w:rPr>
            <w:sz w:val="28"/>
            <w:szCs w:val="28"/>
          </w:rPr>
          <w:t xml:space="preserve">муниципальные образования</w:t>
        </w:r>
      </w:hyperlink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Одним из самых тяжелых стратегических последствий выбора такого пути будет отток молодежи, что в последствии может привести к деградации муниципального образования. Бюджет муниципалитета останется глубоко дотационным.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29"/>
        <w:ind w:firstLine="851"/>
        <w:jc w:val="both"/>
        <w:spacing w:before="0" w:beforeAutospacing="0" w:after="0" w:afterAutospacing="0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Вышеизложенный сценарий развития следует признать беспе</w:t>
      </w:r>
      <w:r>
        <w:rPr>
          <w:sz w:val="28"/>
          <w:szCs w:val="28"/>
        </w:rPr>
        <w:t xml:space="preserve">рспективным и нежелательным, т.</w:t>
      </w:r>
      <w:r>
        <w:rPr>
          <w:sz w:val="28"/>
          <w:szCs w:val="28"/>
        </w:rPr>
        <w:t xml:space="preserve">к. не решает многие проблемы района.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качестве основного сценария долгосрочного развития муниципального образования, также как и Белгородской  области, предлагается </w:t>
      </w:r>
      <w:r>
        <w:rPr>
          <w:b/>
          <w:i/>
          <w:color w:val="000000"/>
          <w:spacing w:val="-4"/>
          <w:sz w:val="28"/>
          <w:szCs w:val="28"/>
        </w:rPr>
        <w:t xml:space="preserve">инновационный социально ориентированный сценарий</w:t>
      </w:r>
      <w:r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 xml:space="preserve">Данный сценарий основан на формировании нового ресурсного портфеля. Он предполагает форсированный хар</w:t>
      </w:r>
      <w:r>
        <w:rPr>
          <w:sz w:val="28"/>
          <w:szCs w:val="28"/>
        </w:rPr>
        <w:t xml:space="preserve">актер</w:t>
      </w:r>
      <w:r>
        <w:rPr>
          <w:sz w:val="28"/>
          <w:szCs w:val="28"/>
        </w:rPr>
        <w:t xml:space="preserve"> развития экономики: создание новых предприятий, освоение новых для района видов деятельности экономики, высокую интенсивность структурных сдвигов в экономике и достижение устойчивого роста населения муниципального образования, в том числе трудоспособного.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3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Ключевые направления развития экономики должны сопровождаться р</w:t>
      </w:r>
      <w:r>
        <w:rPr>
          <w:color w:val="000000"/>
          <w:sz w:val="28"/>
          <w:szCs w:val="28"/>
        </w:rPr>
        <w:t xml:space="preserve">еализацией целого набора мер общеэкономического характера: это действия в области социальной защиты населения, в сфере здравоохранения и подготовки квалифицированных кадров; мероприятия, направленные на стимулирование повышения эффективности производства (</w:t>
      </w:r>
      <w:r>
        <w:rPr>
          <w:color w:val="000000"/>
          <w:sz w:val="28"/>
          <w:szCs w:val="28"/>
        </w:rPr>
        <w:t xml:space="preserve">энергоэффективности</w:t>
      </w:r>
      <w:r>
        <w:rPr>
          <w:color w:val="000000"/>
          <w:sz w:val="28"/>
          <w:szCs w:val="28"/>
        </w:rPr>
        <w:t xml:space="preserve">, производительности труда и т.д.).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9"/>
        <w:jc w:val="both"/>
        <w:spacing w:line="102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Рассмотре</w:t>
      </w:r>
      <w:r>
        <w:rPr>
          <w:color w:val="000000"/>
          <w:sz w:val="28"/>
          <w:szCs w:val="28"/>
        </w:rPr>
        <w:t xml:space="preserve">ние и</w:t>
      </w:r>
      <w:r>
        <w:rPr>
          <w:color w:val="000000"/>
          <w:sz w:val="28"/>
          <w:szCs w:val="28"/>
        </w:rPr>
        <w:t xml:space="preserve">нновационного варианта прогноза позволяют очертить наиболее вероятные границы развития экономики Чернянского образования в 2016-2030 годах. Данный вариант развития опирается на реализацию запланированных в настоящий момент в округе инвестиционных проектов </w:t>
      </w:r>
      <w:r>
        <w:rPr>
          <w:color w:val="000000"/>
          <w:sz w:val="28"/>
          <w:szCs w:val="28"/>
        </w:rPr>
        <w:t xml:space="preserve">(</w:t>
      </w:r>
      <w:r>
        <w:rPr>
          <w:color w:val="000000"/>
          <w:sz w:val="28"/>
          <w:szCs w:val="28"/>
        </w:rPr>
        <w:t xml:space="preserve">п</w:t>
      </w:r>
      <w:r>
        <w:rPr>
          <w:color w:val="000000"/>
          <w:sz w:val="28"/>
          <w:szCs w:val="28"/>
        </w:rPr>
        <w:t xml:space="preserve">риложение 2).</w:t>
      </w:r>
      <w:r>
        <w:rPr>
          <w:color w:val="000000"/>
          <w:sz w:val="28"/>
          <w:szCs w:val="28"/>
        </w:rPr>
        <w:t xml:space="preserve"> В рамках этого варианта появляется возможность оценить вклад данных проектов в развитие округа в средне и долгосрочной перспективе.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9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 xml:space="preserve">В этой связи материалы последующих разделов Стратегии рассматриваются с позиций инновационного сценария развития </w:t>
      </w:r>
      <w:r>
        <w:rPr>
          <w:color w:val="000000"/>
          <w:sz w:val="28"/>
          <w:szCs w:val="28"/>
        </w:rPr>
        <w:t xml:space="preserve">Чернянского муниципального округа</w:t>
      </w:r>
      <w:r>
        <w:rPr>
          <w:color w:val="000000"/>
          <w:sz w:val="28"/>
          <w:szCs w:val="28"/>
        </w:rPr>
        <w:t xml:space="preserve">. Так</w:t>
      </w:r>
      <w:r>
        <w:rPr>
          <w:color w:val="000000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основные </w:t>
      </w:r>
      <w:r>
        <w:rPr>
          <w:rFonts w:eastAsia="Calibri"/>
          <w:sz w:val="28"/>
          <w:szCs w:val="28"/>
        </w:rPr>
        <w:t xml:space="preserve">макроэкономические особенности основных сценариев развития муниципального округа представлены в таблице 5</w:t>
      </w:r>
      <w:r>
        <w:rPr>
          <w:rFonts w:eastAsia="Calibri"/>
          <w:sz w:val="28"/>
          <w:szCs w:val="28"/>
        </w:rPr>
        <w:t xml:space="preserve">5</w:t>
      </w:r>
      <w:r>
        <w:rPr>
          <w:rFonts w:eastAsia="Calibri"/>
          <w:sz w:val="28"/>
          <w:szCs w:val="28"/>
        </w:rPr>
        <w:t xml:space="preserve">.</w:t>
      </w:r>
      <w:r>
        <w:rPr>
          <w:rFonts w:eastAsia="Calibri"/>
          <w:sz w:val="28"/>
          <w:szCs w:val="28"/>
        </w:rPr>
      </w:r>
      <w:r>
        <w:rPr>
          <w:rFonts w:eastAsia="Calibri"/>
          <w:sz w:val="28"/>
          <w:szCs w:val="28"/>
        </w:rPr>
      </w:r>
    </w:p>
    <w:p>
      <w:pPr>
        <w:ind w:firstLine="709"/>
        <w:jc w:val="right"/>
        <w:rPr>
          <w:i/>
          <w:color w:val="000000"/>
          <w:sz w:val="28"/>
          <w:szCs w:val="28"/>
        </w:rPr>
      </w:pPr>
      <w:r>
        <w:rPr>
          <w:rFonts w:eastAsia="Calibri"/>
          <w:i/>
          <w:sz w:val="28"/>
          <w:szCs w:val="28"/>
        </w:rPr>
        <w:t xml:space="preserve">Таблица 5</w:t>
      </w:r>
      <w:r>
        <w:rPr>
          <w:rFonts w:eastAsia="Calibri"/>
          <w:i/>
          <w:sz w:val="28"/>
          <w:szCs w:val="28"/>
        </w:rPr>
        <w:t xml:space="preserve">5</w:t>
      </w:r>
      <w:r>
        <w:rPr>
          <w:i/>
          <w:color w:val="000000"/>
          <w:sz w:val="28"/>
          <w:szCs w:val="28"/>
        </w:rPr>
      </w:r>
      <w:r>
        <w:rPr>
          <w:i/>
          <w:color w:val="000000"/>
          <w:sz w:val="28"/>
          <w:szCs w:val="28"/>
        </w:rPr>
      </w:r>
    </w:p>
    <w:p>
      <w:pPr>
        <w:jc w:val="center"/>
        <w:rPr>
          <w:rFonts w:eastAsia="Calibri"/>
          <w:b/>
          <w:bCs/>
          <w:sz w:val="28"/>
          <w:szCs w:val="28"/>
          <w:highlight w:val="none"/>
        </w:rPr>
      </w:pPr>
      <w:r>
        <w:rPr>
          <w:rFonts w:eastAsia="Calibri"/>
          <w:b/>
          <w:sz w:val="28"/>
          <w:szCs w:val="28"/>
        </w:rPr>
        <w:t xml:space="preserve">Макроэкономические особенности основных сценариев развития</w:t>
      </w:r>
      <w:r>
        <w:rPr>
          <w:rFonts w:eastAsia="Calibri"/>
          <w:b/>
          <w:sz w:val="28"/>
          <w:szCs w:val="28"/>
        </w:rPr>
        <w:t xml:space="preserve"> Чернянского муниципального округа</w:t>
      </w:r>
      <w:r>
        <w:rPr>
          <w:rFonts w:eastAsia="Calibri"/>
          <w:b/>
          <w:sz w:val="28"/>
          <w:szCs w:val="28"/>
        </w:rPr>
        <w:t xml:space="preserve"> </w:t>
      </w:r>
      <w:r>
        <w:rPr>
          <w:rFonts w:eastAsia="Calibri"/>
          <w:b/>
          <w:sz w:val="28"/>
          <w:szCs w:val="28"/>
        </w:rPr>
        <w:t xml:space="preserve">Белгородской области</w:t>
      </w:r>
      <w:r>
        <w:rPr>
          <w:rFonts w:eastAsia="Calibri"/>
          <w:b/>
          <w:bCs/>
          <w:sz w:val="28"/>
          <w:szCs w:val="28"/>
          <w:highlight w:val="none"/>
        </w:rPr>
      </w:r>
      <w:r>
        <w:rPr>
          <w:rFonts w:eastAsia="Calibri"/>
          <w:b/>
          <w:bCs/>
          <w:sz w:val="28"/>
          <w:szCs w:val="28"/>
          <w:highlight w:val="none"/>
        </w:rPr>
      </w:r>
    </w:p>
    <w:p>
      <w:pPr>
        <w:ind w:firstLine="0"/>
        <w:jc w:val="left"/>
        <w:rPr>
          <w:rFonts w:eastAsia="Calibri"/>
        </w:rPr>
      </w:pPr>
      <w:r>
        <w:rPr>
          <w:rFonts w:eastAsia="Calibri"/>
        </w:rPr>
      </w:r>
      <w:r>
        <w:rPr>
          <w:rFonts w:eastAsia="Calibri"/>
        </w:rPr>
      </w:r>
      <w:r>
        <w:rPr>
          <w:rFonts w:eastAsia="Calibri"/>
        </w:rPr>
      </w:r>
    </w:p>
    <w:p>
      <w:pPr>
        <w:ind w:firstLine="709"/>
        <w:jc w:val="right"/>
        <w:rPr>
          <w:rFonts w:eastAsia="Calibri"/>
        </w:rPr>
      </w:pPr>
      <w:r>
        <w:rPr>
          <w:rFonts w:eastAsia="Calibri"/>
        </w:rPr>
      </w:r>
      <w:r>
        <w:rPr>
          <w:rFonts w:eastAsia="Calibri"/>
        </w:rPr>
      </w:r>
      <w:r>
        <w:rPr>
          <w:rFonts w:eastAsia="Calibri"/>
        </w:rPr>
      </w:r>
    </w:p>
    <w:tbl>
      <w:tblPr>
        <w:tblW w:w="9272" w:type="dxa"/>
        <w:jc w:val="center"/>
        <w:tblInd w:w="-76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4913"/>
        <w:gridCol w:w="1382"/>
        <w:gridCol w:w="1560"/>
        <w:gridCol w:w="1560"/>
        <w:gridCol w:w="1417"/>
      </w:tblGrid>
      <w:tr>
        <w:tblPrEx/>
        <w:trPr>
          <w:jc w:val="center"/>
          <w:tblHeader/>
        </w:trPr>
        <w:tc>
          <w:tcPr>
            <w:tcW w:w="491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br w:type="page" w:clear="all"/>
              <w:t xml:space="preserve">Показатели</w:t>
            </w:r>
            <w:r>
              <w:rPr>
                <w:rFonts w:eastAsia="Calibri"/>
                <w:b/>
              </w:rPr>
            </w:r>
            <w:r>
              <w:rPr>
                <w:rFonts w:eastAsia="Calibri"/>
                <w:b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2007</w:t>
            </w:r>
            <w:r>
              <w:rPr>
                <w:rFonts w:eastAsia="Calibri"/>
                <w:b/>
              </w:rPr>
            </w:r>
            <w:r>
              <w:rPr>
                <w:rFonts w:eastAsia="Calibri"/>
                <w:b/>
              </w:rPr>
            </w:r>
          </w:p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год</w:t>
            </w:r>
            <w:r>
              <w:rPr>
                <w:rFonts w:eastAsia="Calibri"/>
                <w:b/>
              </w:rPr>
            </w:r>
            <w:r>
              <w:rPr>
                <w:rFonts w:eastAsia="Calibri"/>
                <w:b/>
              </w:rPr>
            </w:r>
          </w:p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базовый </w:t>
            </w:r>
            <w:r>
              <w:rPr>
                <w:rFonts w:eastAsia="Calibri"/>
                <w:b/>
              </w:rPr>
            </w:r>
            <w:r>
              <w:rPr>
                <w:rFonts w:eastAsia="Calibri"/>
                <w:b/>
              </w:rPr>
            </w:r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2025 год</w:t>
            </w:r>
            <w:r>
              <w:rPr>
                <w:rFonts w:eastAsia="Calibri"/>
                <w:b/>
              </w:rPr>
            </w:r>
            <w:r>
              <w:rPr>
                <w:rFonts w:eastAsia="Calibri"/>
                <w:b/>
              </w:rPr>
            </w:r>
          </w:p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отчет</w:t>
            </w:r>
            <w:r>
              <w:rPr>
                <w:rFonts w:eastAsia="Calibri"/>
                <w:b/>
              </w:rPr>
            </w:r>
            <w:r>
              <w:rPr>
                <w:rFonts w:eastAsia="Calibri"/>
                <w:b/>
              </w:rPr>
            </w:r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2030 год</w:t>
            </w:r>
            <w:r>
              <w:rPr>
                <w:rFonts w:eastAsia="Calibri"/>
                <w:b/>
              </w:rPr>
            </w:r>
            <w:r>
              <w:rPr>
                <w:rFonts w:eastAsia="Calibri"/>
                <w:b/>
              </w:rPr>
            </w:r>
          </w:p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и</w:t>
            </w:r>
            <w:r>
              <w:rPr>
                <w:rFonts w:eastAsia="Calibri"/>
                <w:b/>
              </w:rPr>
              <w:t xml:space="preserve">нерцион</w:t>
            </w:r>
            <w:r>
              <w:rPr>
                <w:rFonts w:eastAsia="Calibri"/>
                <w:b/>
              </w:rPr>
              <w:t xml:space="preserve">-</w:t>
            </w:r>
            <w:r>
              <w:rPr>
                <w:rFonts w:eastAsia="Calibri"/>
                <w:b/>
              </w:rPr>
              <w:t xml:space="preserve">ный</w:t>
            </w:r>
            <w:r>
              <w:rPr>
                <w:rFonts w:eastAsia="Calibri"/>
                <w:b/>
              </w:rPr>
            </w:r>
            <w:r>
              <w:rPr>
                <w:rFonts w:eastAsia="Calibri"/>
                <w:b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2030 год</w:t>
            </w:r>
            <w:r>
              <w:rPr>
                <w:rFonts w:eastAsia="Calibri"/>
                <w:b/>
              </w:rPr>
            </w:r>
            <w:r>
              <w:rPr>
                <w:rFonts w:eastAsia="Calibri"/>
                <w:b/>
              </w:rPr>
            </w:r>
          </w:p>
          <w:p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и</w:t>
            </w:r>
            <w:r>
              <w:rPr>
                <w:rFonts w:eastAsia="Calibri"/>
                <w:b/>
              </w:rPr>
              <w:t xml:space="preserve">ннова</w:t>
            </w:r>
            <w:r>
              <w:rPr>
                <w:rFonts w:eastAsia="Calibri"/>
                <w:b/>
              </w:rPr>
              <w:t xml:space="preserve">-</w:t>
            </w:r>
            <w:r>
              <w:rPr>
                <w:rFonts w:eastAsia="Calibri"/>
                <w:b/>
              </w:rPr>
              <w:t xml:space="preserve">ционный</w:t>
            </w:r>
            <w:r>
              <w:rPr>
                <w:rFonts w:eastAsia="Calibri"/>
                <w:b/>
              </w:rPr>
            </w:r>
            <w:r>
              <w:rPr>
                <w:rFonts w:eastAsia="Calibri"/>
                <w:b/>
              </w:rPr>
            </w:r>
          </w:p>
        </w:tc>
      </w:tr>
      <w:tr>
        <w:tblPrEx/>
        <w:trPr>
          <w:jc w:val="center"/>
        </w:trPr>
        <w:tc>
          <w:tcPr>
            <w:tcW w:w="4913" w:type="dxa"/>
            <w:textDirection w:val="lrTb"/>
            <w:noWrap w:val="false"/>
          </w:tcPr>
          <w:p>
            <w:pPr>
              <w:jc w:val="both"/>
              <w:keepNext/>
            </w:pPr>
            <w:r>
              <w:t xml:space="preserve">Численность</w:t>
            </w:r>
            <w:r>
              <w:t xml:space="preserve"> населения</w:t>
            </w:r>
            <w:r>
              <w:t xml:space="preserve">, </w:t>
            </w:r>
            <w:r>
              <w:t xml:space="preserve">тыс.</w:t>
            </w:r>
            <w:r>
              <w:t xml:space="preserve"> человек</w:t>
            </w:r>
            <w:r/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32,6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28,1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27,5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27,8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</w:tr>
      <w:tr>
        <w:tblPrEx/>
        <w:trPr>
          <w:jc w:val="center"/>
        </w:trPr>
        <w:tc>
          <w:tcPr>
            <w:tcW w:w="4913" w:type="dxa"/>
            <w:textDirection w:val="lrTb"/>
            <w:noWrap w:val="false"/>
          </w:tcPr>
          <w:p>
            <w:pPr>
              <w:jc w:val="both"/>
              <w:keepNext/>
            </w:pPr>
            <w:r>
              <w:t xml:space="preserve">Объем промышленного производства на душу населения, </w:t>
            </w:r>
            <w:r>
              <w:t xml:space="preserve">тыс.</w:t>
            </w:r>
            <w:r>
              <w:t xml:space="preserve"> </w:t>
            </w:r>
            <w:r>
              <w:t xml:space="preserve">рублей</w:t>
            </w:r>
            <w:r/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68,058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448,8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510,6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538,1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</w:tr>
      <w:tr>
        <w:tblPrEx/>
        <w:trPr>
          <w:jc w:val="center"/>
        </w:trPr>
        <w:tc>
          <w:tcPr>
            <w:tcW w:w="4913" w:type="dxa"/>
            <w:textDirection w:val="lrTb"/>
            <w:noWrap w:val="false"/>
          </w:tcPr>
          <w:p>
            <w:pPr>
              <w:jc w:val="both"/>
              <w:keepNext/>
            </w:pPr>
            <w:r>
              <w:t xml:space="preserve">Объем продукции сельского хозяйства в хозяйствах всех категорий на душу населения, </w:t>
            </w:r>
            <w:r>
              <w:t xml:space="preserve">тыс.</w:t>
            </w:r>
            <w:r>
              <w:t xml:space="preserve"> </w:t>
            </w:r>
            <w:r>
              <w:t xml:space="preserve">рублей</w:t>
            </w:r>
            <w:r/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62,761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413,3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469,8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495,1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</w:tr>
      <w:tr>
        <w:tblPrEx/>
        <w:trPr>
          <w:jc w:val="center"/>
        </w:trPr>
        <w:tc>
          <w:tcPr>
            <w:tcW w:w="4913" w:type="dxa"/>
            <w:textDirection w:val="lrTb"/>
            <w:noWrap w:val="false"/>
          </w:tcPr>
          <w:p>
            <w:pPr>
              <w:jc w:val="both"/>
              <w:rPr>
                <w:rFonts w:eastAsia="Calibri"/>
              </w:rPr>
            </w:pPr>
            <w:r>
              <w:t xml:space="preserve">Инвестиции в основной капитал за счет всех источников финансирования на душу населения, </w:t>
            </w:r>
            <w:r>
              <w:t xml:space="preserve">тыс.</w:t>
            </w:r>
            <w:r>
              <w:t xml:space="preserve"> </w:t>
            </w:r>
            <w:r>
              <w:t xml:space="preserve">рублей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23,07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83,1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100,1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105,5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</w:tr>
      <w:tr>
        <w:tblPrEx/>
        <w:trPr>
          <w:jc w:val="center"/>
        </w:trPr>
        <w:tc>
          <w:tcPr>
            <w:tcW w:w="4913" w:type="dxa"/>
            <w:textDirection w:val="lrTb"/>
            <w:noWrap w:val="false"/>
          </w:tcPr>
          <w:p>
            <w:pPr>
              <w:jc w:val="both"/>
              <w:rPr>
                <w:rFonts w:eastAsia="Calibri"/>
              </w:rPr>
            </w:pPr>
            <w:r>
              <w:t xml:space="preserve">Удельный вес инновационных товаров, работ, услуг в общем объеме отгруженных товаров, работ, услуг организаций промышленного производства и сферы услуг,</w:t>
            </w:r>
            <w:r>
              <w:t xml:space="preserve">%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-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-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-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-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</w:tr>
      <w:tr>
        <w:tblPrEx/>
        <w:trPr>
          <w:jc w:val="center"/>
        </w:trPr>
        <w:tc>
          <w:tcPr>
            <w:tcW w:w="4913" w:type="dxa"/>
            <w:textDirection w:val="lrTb"/>
            <w:noWrap w:val="false"/>
          </w:tcPr>
          <w:p>
            <w:pPr>
              <w:jc w:val="both"/>
              <w:rPr>
                <w:rFonts w:eastAsia="Calibri"/>
              </w:rPr>
            </w:pPr>
            <w:r>
              <w:t xml:space="preserve">Среднемесячная заработная плата </w:t>
            </w:r>
            <w:r>
              <w:t xml:space="preserve">работников организаций (по полному кругу)</w:t>
            </w:r>
            <w:r>
              <w:t xml:space="preserve">,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рублей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382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7378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64737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73250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keepLines/>
              <w:rPr>
                <w:rFonts w:eastAsia="Calibri"/>
              </w:rPr>
            </w:pPr>
            <w:r>
              <w:rPr>
                <w:rFonts w:eastAsia="Calibri"/>
              </w:rPr>
              <w:t xml:space="preserve">76283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</w:tc>
      </w:tr>
    </w:tbl>
    <w:p>
      <w:pPr>
        <w:tabs>
          <w:tab w:val="left" w:pos="6180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58"/>
        <w:ind w:left="0"/>
        <w:jc w:val="center"/>
        <w:tabs>
          <w:tab w:val="left" w:pos="6180" w:leader="none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Инвестиционная стратегия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Ключевым фактором экономического роста,  развития социальной сферы  и повышения качества жизни населения Чернянского муниципального округа являются инвест</w:t>
      </w:r>
      <w:r>
        <w:rPr>
          <w:sz w:val="28"/>
          <w:szCs w:val="28"/>
        </w:rPr>
        <w:t xml:space="preserve">иции, привлечение которых  важнейшая  задача в деятельности органов местного самоуправления района. В этих целях выполнен комплекс мероприятий, направленных на создание благоприятного инвестиционного климата и повышение инвестиционной активности в округе.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Чернянском муниципальном округе разработан инвестиционный паспорт, включающий в себя информацию о муниципальном образовании, перечень нормативных правовых актов, ре</w:t>
      </w:r>
      <w:r>
        <w:rPr>
          <w:sz w:val="28"/>
          <w:szCs w:val="28"/>
        </w:rPr>
        <w:t xml:space="preserve">гулирующих инвестиционную деятельность в муниципальном образовании, информацию о механизмах поддержки, преференциях, льготах, предоставляемых инвесторам и предпринимателям, перечень объектов инфраструктуры для ведения предпринимательской деятельности и др.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Инвестиционная стратегия Чернянского муниципального округа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Белгородской области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период до 2030 года определя</w:t>
      </w:r>
      <w:r>
        <w:rPr>
          <w:sz w:val="28"/>
          <w:szCs w:val="28"/>
        </w:rPr>
        <w:t xml:space="preserve">ет</w:t>
      </w:r>
      <w:r>
        <w:rPr>
          <w:sz w:val="28"/>
          <w:szCs w:val="28"/>
        </w:rPr>
        <w:t xml:space="preserve"> долгосрочные цели и ожидаемые результаты деятельности органов местного самоуправления, хозяйствующих субъектов по созданию благоприятного инвестиционного климата в Чернянском муниципальном районе округе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Белгородской области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Направления инвестиционной политики концентриру</w:t>
      </w:r>
      <w:r>
        <w:rPr>
          <w:sz w:val="28"/>
          <w:szCs w:val="28"/>
        </w:rPr>
        <w:t xml:space="preserve">ются</w:t>
      </w:r>
      <w:r>
        <w:rPr>
          <w:sz w:val="28"/>
          <w:szCs w:val="28"/>
        </w:rPr>
        <w:t xml:space="preserve"> на факторах, определяющих инвестиционную привлекательность </w:t>
      </w:r>
      <w:r>
        <w:rPr>
          <w:sz w:val="28"/>
          <w:szCs w:val="28"/>
        </w:rPr>
        <w:t xml:space="preserve">муниципального округа, охватыва</w:t>
      </w:r>
      <w:r>
        <w:rPr>
          <w:sz w:val="28"/>
          <w:szCs w:val="28"/>
        </w:rPr>
        <w:t xml:space="preserve">ют</w:t>
      </w:r>
      <w:r>
        <w:rPr>
          <w:sz w:val="28"/>
          <w:szCs w:val="28"/>
        </w:rPr>
        <w:t xml:space="preserve"> следующие ключевые направления инвестиционной политики: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Внедрение системы оценки регулирующего воздействия проектов муниципальных нормативных правовых актов и экспертизы действующих муниципальных нормативных правовых актов, регулирующих вопросы, связанные с осуществлением предпринимательской деятельности.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Реализации проектов с использованием механизма муниципально- частного партнерства.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Организация специализированного </w:t>
      </w:r>
      <w:r>
        <w:rPr>
          <w:sz w:val="28"/>
          <w:szCs w:val="28"/>
        </w:rPr>
        <w:t xml:space="preserve">интернет</w:t>
      </w: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ресурса</w:t>
      </w:r>
      <w:r>
        <w:rPr>
          <w:sz w:val="28"/>
          <w:szCs w:val="28"/>
        </w:rPr>
        <w:t xml:space="preserve"> муниципального образования об инвестиционной деятельности, обеспечивающего канал прямой связи органов местног</w:t>
      </w:r>
      <w:r>
        <w:rPr>
          <w:sz w:val="28"/>
          <w:szCs w:val="28"/>
        </w:rPr>
        <w:t xml:space="preserve">о самоуправления с инвесторами.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Формирование системы информационной и консультационной поддержки и популяризация предпринимательской деятельности, в том числе на базе многофункциональных центров предоставления государственных и муниципальных услуг.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 деятельности общественного Совета по поддержке и развитию малого и среднего предпринимательства и улучшению инвестиционного климата Чернянского муниципального округа </w:t>
      </w:r>
      <w:r>
        <w:rPr>
          <w:rFonts w:eastAsia="Calibri"/>
          <w:sz w:val="28"/>
          <w:szCs w:val="28"/>
        </w:rPr>
        <w:t xml:space="preserve">Белгородской области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 мероприятий по сокращению сроков и финансовых затрат на прохождение разрешительных процедур в сфере земельных отношений и строительства при реализации инвестиционных проектов.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Обеспечение профессиональной подготовки и переподготовки должностных лиц, ответственных за привлечение инвестиций и поддержку предпринимательства.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Реализация инвестиционных проектов хозяйствующими субъектами.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Развитие депрессивных промышленных площадок.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10.Взаимодействие между инвесторами и поставщиками услуг.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Приоритеты в привлечении инвестиций: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Реализация проектов по созданию и расширению предприятий в промышленности и сельском хозяйстве, в том числе направленных на </w:t>
      </w:r>
      <w:r>
        <w:rPr>
          <w:sz w:val="28"/>
          <w:szCs w:val="28"/>
        </w:rPr>
        <w:t xml:space="preserve">импортозамещение</w:t>
      </w:r>
      <w:r>
        <w:rPr>
          <w:sz w:val="28"/>
          <w:szCs w:val="28"/>
        </w:rPr>
        <w:t xml:space="preserve">, на выпуск инновационных продуктов.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Реализация проектов по созданию новых производств.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Реализация проектов с использованием МЧП.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Реализация проектов, направленных на замену оборудования, модернизацию действующих производств.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Реализация проектов, направленных на развитие депрессивных промышленных площадок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</w:t>
      </w:r>
      <w:r>
        <w:rPr>
          <w:i/>
          <w:sz w:val="28"/>
          <w:szCs w:val="28"/>
        </w:rPr>
        <w:t xml:space="preserve">56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10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показатели инвестиционного потенциала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102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муниципального образования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10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94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675"/>
        <w:gridCol w:w="2660"/>
        <w:gridCol w:w="1026"/>
        <w:gridCol w:w="992"/>
        <w:gridCol w:w="992"/>
        <w:gridCol w:w="993"/>
        <w:gridCol w:w="992"/>
        <w:gridCol w:w="1134"/>
      </w:tblGrid>
      <w:tr>
        <w:tblPrEx/>
        <w:trPr>
          <w:tblHeader/>
        </w:trPr>
        <w:tc>
          <w:tcPr>
            <w:tcW w:w="675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п/п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2660" w:type="dxa"/>
            <w:vAlign w:val="center"/>
            <w:textDirection w:val="lrTb"/>
            <w:noWrap w:val="false"/>
          </w:tcPr>
          <w:p>
            <w:pPr>
              <w:pStyle w:val="1028"/>
              <w:ind w:firstLine="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Показатели, ед. изм.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026" w:type="dxa"/>
            <w:vAlign w:val="center"/>
            <w:textDirection w:val="lrTb"/>
            <w:noWrap w:val="false"/>
          </w:tcPr>
          <w:p>
            <w:pPr>
              <w:pStyle w:val="1028"/>
              <w:ind w:firstLine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2012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2013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1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2014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2015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2016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Темп роста 2016 к 2012, %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</w:tr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</w: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2660" w:type="dxa"/>
            <w:textDirection w:val="lrTb"/>
            <w:noWrap w:val="false"/>
          </w:tcPr>
          <w:p>
            <w:pPr>
              <w:ind w:firstLine="2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Инвестиции в основной </w:t>
            </w:r>
            <w:r>
              <w:rPr>
                <w:sz w:val="22"/>
                <w:szCs w:val="22"/>
              </w:rPr>
              <w:t xml:space="preserve">капиталза</w:t>
            </w:r>
            <w:r>
              <w:rPr>
                <w:sz w:val="22"/>
                <w:szCs w:val="22"/>
              </w:rPr>
              <w:t xml:space="preserve"> счет всех источников финансирования, млн</w:t>
            </w:r>
            <w:r>
              <w:rPr>
                <w:sz w:val="22"/>
                <w:szCs w:val="22"/>
              </w:rPr>
              <w:t xml:space="preserve">.</w:t>
            </w:r>
            <w:r>
              <w:rPr>
                <w:sz w:val="22"/>
                <w:szCs w:val="22"/>
              </w:rPr>
              <w:t xml:space="preserve"> рублей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W w:w="1026" w:type="dxa"/>
            <w:vAlign w:val="center"/>
            <w:textDirection w:val="lrTb"/>
            <w:noWrap w:val="false"/>
          </w:tcPr>
          <w:p>
            <w:pPr>
              <w:pStyle w:val="1028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1393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1287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2624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2131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1580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113,4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W w:w="2660" w:type="dxa"/>
            <w:textDirection w:val="lrTb"/>
            <w:noWrap w:val="false"/>
          </w:tcPr>
          <w:p>
            <w:pPr>
              <w:pStyle w:val="1028"/>
              <w:ind w:firstLine="28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Инвестиции в основной капитал (за исключением бюджетных средств), млн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рублей</w: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1026" w:type="dxa"/>
            <w:vAlign w:val="center"/>
            <w:textDirection w:val="lrTb"/>
            <w:noWrap w:val="false"/>
          </w:tcPr>
          <w:p>
            <w:pPr>
              <w:pStyle w:val="1028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936,2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1005,3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2504,5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1984,2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1463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156,3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3</w: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2660" w:type="dxa"/>
            <w:textDirection w:val="lrTb"/>
            <w:noWrap w:val="false"/>
          </w:tcPr>
          <w:p>
            <w:pPr>
              <w:ind w:firstLine="2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Количество инвестиционных проектов, реализуемых и планируемых к реализации, ед.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W w:w="1026" w:type="dxa"/>
            <w:vAlign w:val="center"/>
            <w:textDirection w:val="lrTb"/>
            <w:noWrap w:val="false"/>
          </w:tcPr>
          <w:p>
            <w:pPr>
              <w:pStyle w:val="1028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83,8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</w: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2660" w:type="dxa"/>
            <w:textDirection w:val="lrTb"/>
            <w:noWrap w:val="false"/>
          </w:tcPr>
          <w:p>
            <w:pPr>
              <w:ind w:firstLine="2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Общий бюджет реализуемых инвестиционных проектов, млн. рублей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W w:w="1026" w:type="dxa"/>
            <w:vAlign w:val="center"/>
            <w:textDirection w:val="lrTb"/>
            <w:noWrap w:val="false"/>
          </w:tcPr>
          <w:p>
            <w:pPr>
              <w:pStyle w:val="1028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2716,9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2890,4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3042,5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3272,1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3401,2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125,2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5</w: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2660" w:type="dxa"/>
            <w:textDirection w:val="lrTb"/>
            <w:noWrap w:val="false"/>
          </w:tcPr>
          <w:p>
            <w:pPr>
              <w:ind w:firstLine="2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Количество введенных в эксплуатацию объектов реального сектора экономики, ед.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W w:w="1026" w:type="dxa"/>
            <w:vAlign w:val="center"/>
            <w:textDirection w:val="lrTb"/>
            <w:noWrap w:val="false"/>
          </w:tcPr>
          <w:p>
            <w:pPr>
              <w:pStyle w:val="1028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4 раза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675" w:type="dxa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6</w: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2660" w:type="dxa"/>
            <w:textDirection w:val="lrTb"/>
            <w:noWrap w:val="false"/>
          </w:tcPr>
          <w:p>
            <w:pPr>
              <w:ind w:firstLine="2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Количество введенных в эксплуатацию объектов социальной инфраструктуры, ед.</w: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</w:r>
          </w:p>
        </w:tc>
        <w:tc>
          <w:tcPr>
            <w:tcW w:w="1026" w:type="dxa"/>
            <w:vAlign w:val="center"/>
            <w:textDirection w:val="lrTb"/>
            <w:noWrap w:val="false"/>
          </w:tcPr>
          <w:p>
            <w:pPr>
              <w:pStyle w:val="1028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3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pStyle w:val="1028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период с 2012 по 2016 год объем привлеченных и освоенных инвестиций в основной капитал по муниципальному образованию составил более 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млрд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рублей. 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2016 году на развитие экономики и социальной сферы было направлено 1,6  млрд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рублей инвестиций.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553,4 млн. руб. (или 35% от общего объема инвестиций) освоенных инвестиций приходится на крупные и средние организации, на 41,2% меньше аналогичного периода 2015 года.  1026,6 </w:t>
      </w:r>
      <w:r>
        <w:rPr>
          <w:sz w:val="28"/>
          <w:szCs w:val="28"/>
        </w:rPr>
        <w:t xml:space="preserve">млн.руб</w:t>
      </w:r>
      <w:r>
        <w:rPr>
          <w:sz w:val="28"/>
          <w:szCs w:val="28"/>
        </w:rPr>
        <w:t xml:space="preserve">. - освоены в малом бизнесе (65%).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общего объема инвестиций освоенных средними и крупными организациями: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- 34,7% - в сфере строительства (192 млн.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руб.);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69% освоенных инвестиций  приходятся на сельскохозяйственную отрасль(382 млн. руб.);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- 5,2% - в  сфере обрабатывающего производства (28,6 млн.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руб.);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- 4,3% - на оптовую и розничную торговлю; ремонт автотранспортных средств, мотоциклов, бытовых изделий и предметов личного пользования (23,8 млн.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руб.);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- 4,1% - государственное управление и обеспечение военной безопасности (22,7 млн.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руб.);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- 1,3%   - деятельности в области здравоохранения и социальных услуг (7,1 млн.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руб.);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- 1% - деятельность в области культуры, спорта, организации досуга и развлечений (5,7 млн.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руб.).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видовой структуре инвестиции исполь</w:t>
      </w:r>
      <w:r>
        <w:rPr>
          <w:sz w:val="28"/>
          <w:szCs w:val="28"/>
        </w:rPr>
        <w:t xml:space="preserve">зованы  на производственный и хозяйственный инвентарь (1% от общего объема инвестиций), на жилища (1,6%),  на строительство зданий (кроме жилых) и сооружений (12,3%), на приобретение машин, оборудования (33,3%), транспортных средств (5,8%), прочие (32,8%).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Финансирование инвестиций в основной капитал велось, в основном, за счет собственных средств  – 75% общего объема инвестиций  или  415,1 млн.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руб. Остальная доля инвестиций это  привлеченных  средств – 138,3 млн.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руб.(25%), в которых наибольшую долю занимают кредиты банков.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Сумма бюджетных инвестиций в 2016 году составила 25,692 млн.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руб., в том числе за счет федерального бюджета – 6,708 млн.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руб., за счет областных средств-15,917 млн.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руб., за счет средств местного бюджета – 3,067 млн.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руб.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Главной </w:t>
      </w:r>
      <w:r>
        <w:rPr>
          <w:sz w:val="28"/>
          <w:szCs w:val="28"/>
        </w:rPr>
        <w:t xml:space="preserve">целью инвестици</w:t>
      </w:r>
      <w:r>
        <w:rPr>
          <w:sz w:val="28"/>
          <w:szCs w:val="28"/>
        </w:rPr>
        <w:t xml:space="preserve">онной политики на ближайшее будущее является развитие благоприятных условий для осуществления инвестиционной деятельности на территории Чернянского муниципального округа, обеспечение высоких темпов экономического роста за счет активного притока инвестиций.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</w:t>
      </w:r>
      <w:r>
        <w:rPr>
          <w:i/>
          <w:sz w:val="28"/>
          <w:szCs w:val="28"/>
        </w:rPr>
        <w:t xml:space="preserve">57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Индикаторы реализации инвестиционной стратегии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Чернянского </w:t>
      </w:r>
      <w:r>
        <w:rPr>
          <w:b/>
          <w:sz w:val="28"/>
          <w:szCs w:val="28"/>
        </w:rPr>
        <w:t xml:space="preserve">муниципального округа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bCs/>
          <w:i/>
        </w:rPr>
      </w:pPr>
      <w:r>
        <w:rPr>
          <w:b/>
          <w:bCs/>
          <w:i/>
        </w:rPr>
      </w:r>
      <w:r>
        <w:rPr>
          <w:b/>
          <w:bCs/>
          <w:i/>
        </w:rPr>
      </w:r>
      <w:r>
        <w:rPr>
          <w:b/>
          <w:bCs/>
          <w:i/>
        </w:rPr>
      </w:r>
    </w:p>
    <w:tbl>
      <w:tblPr>
        <w:tblW w:w="4968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400"/>
        <w:gridCol w:w="1003"/>
        <w:gridCol w:w="1042"/>
        <w:gridCol w:w="1248"/>
        <w:gridCol w:w="1107"/>
      </w:tblGrid>
      <w:tr>
        <w:tblPrEx/>
        <w:trPr>
          <w:cantSplit/>
          <w:jc w:val="center"/>
          <w:trHeight w:val="300"/>
          <w:tblHeader/>
        </w:trPr>
        <w:tc>
          <w:tcPr>
            <w:tcW w:w="373" w:type="pct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№ п/п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31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Индикаторы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527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2012 год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отчет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548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2016 год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отчет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65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2025 год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отчет</w:t>
            </w:r>
            <w:r>
              <w:rPr>
                <w:b/>
              </w:rPr>
            </w:r>
          </w:p>
        </w:tc>
        <w:tc>
          <w:tcPr>
            <w:tcW w:w="582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2030 год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прогноз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373" w:type="pct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</w:p>
        </w:tc>
        <w:tc>
          <w:tcPr>
            <w:tcW w:w="2313" w:type="pct"/>
            <w:textDirection w:val="lrTb"/>
            <w:noWrap w:val="false"/>
          </w:tcPr>
          <w:p>
            <w:pPr>
              <w:pStyle w:val="1028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Инвестиции в основной капитал на душу населения,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тыс.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рублей</w: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527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23,1</w:t>
            </w:r>
            <w:r/>
          </w:p>
        </w:tc>
        <w:tc>
          <w:tcPr>
            <w:tcW w:w="548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50,3</w:t>
            </w:r>
            <w:r/>
          </w:p>
        </w:tc>
        <w:tc>
          <w:tcPr>
            <w:tcW w:w="65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83,1</w:t>
            </w:r>
            <w:r/>
          </w:p>
        </w:tc>
        <w:tc>
          <w:tcPr>
            <w:tcW w:w="582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69,9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373" w:type="pct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W w:w="2313" w:type="pct"/>
            <w:textDirection w:val="lrTb"/>
            <w:noWrap w:val="false"/>
          </w:tcPr>
          <w:p>
            <w:pPr>
              <w:pStyle w:val="1028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Инвестиции в основной капитал (за исключением бюджетных средств) (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тыс.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рублей)</w: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527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11,9</w:t>
            </w:r>
            <w:r/>
          </w:p>
        </w:tc>
        <w:tc>
          <w:tcPr>
            <w:tcW w:w="548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46,6</w:t>
            </w:r>
            <w:r/>
          </w:p>
        </w:tc>
        <w:tc>
          <w:tcPr>
            <w:tcW w:w="65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47,5</w:t>
            </w:r>
            <w:r/>
          </w:p>
        </w:tc>
        <w:tc>
          <w:tcPr>
            <w:tcW w:w="582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105,5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373" w:type="pct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tcW w:w="2313" w:type="pct"/>
            <w:textDirection w:val="lrTb"/>
            <w:noWrap w:val="false"/>
          </w:tcPr>
          <w:p>
            <w:pPr>
              <w:pStyle w:val="1028"/>
              <w:ind w:firstLine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Количество введенных в эксплуатацию объектов реального сектора экономики и социальной инфраструктуры, ед.</w:t>
            </w:r>
            <w:r>
              <w:rPr>
                <w:rFonts w:ascii="Times New Roman" w:hAnsi="Times New Roman"/>
                <w:sz w:val="22"/>
                <w:szCs w:val="22"/>
              </w:rPr>
            </w:r>
            <w:r>
              <w:rPr>
                <w:rFonts w:ascii="Times New Roman" w:hAnsi="Times New Roman"/>
                <w:sz w:val="22"/>
                <w:szCs w:val="22"/>
              </w:rPr>
            </w:r>
          </w:p>
        </w:tc>
        <w:tc>
          <w:tcPr>
            <w:tcW w:w="527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W w:w="548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tcW w:w="65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</w:t>
            </w:r>
            <w:r/>
          </w:p>
        </w:tc>
        <w:tc>
          <w:tcPr>
            <w:tcW w:w="582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17</w:t>
            </w:r>
            <w:r/>
          </w:p>
        </w:tc>
      </w:tr>
    </w:tbl>
    <w:p>
      <w:pPr>
        <w:jc w:val="center"/>
        <w:rPr>
          <w:b/>
          <w:bCs/>
          <w:i/>
        </w:rPr>
      </w:pPr>
      <w:r>
        <w:rPr>
          <w:b/>
          <w:bCs/>
          <w:i/>
        </w:rPr>
      </w:r>
      <w:r>
        <w:rPr>
          <w:b/>
          <w:bCs/>
          <w:i/>
        </w:rPr>
      </w:r>
      <w:r>
        <w:rPr>
          <w:b/>
          <w:bCs/>
          <w:i/>
        </w:rPr>
      </w:r>
    </w:p>
    <w:p>
      <w:pPr>
        <w:jc w:val="center"/>
        <w:rPr>
          <w:b/>
          <w:bCs/>
          <w:i/>
        </w:rPr>
      </w:pPr>
      <w:r>
        <w:rPr>
          <w:b/>
          <w:bCs/>
          <w:i/>
        </w:rPr>
      </w:r>
      <w:r>
        <w:rPr>
          <w:b/>
          <w:bCs/>
          <w:i/>
        </w:rPr>
      </w:r>
      <w:r>
        <w:rPr>
          <w:b/>
          <w:bCs/>
          <w:i/>
        </w:rPr>
      </w:r>
    </w:p>
    <w:p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Раздел 4. Стратегические направления развития </w:t>
      </w:r>
      <w:r>
        <w:rPr>
          <w:b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Чернянского муниципального </w:t>
      </w:r>
      <w:r>
        <w:rPr>
          <w:b/>
          <w:sz w:val="28"/>
          <w:szCs w:val="28"/>
        </w:rPr>
        <w:t xml:space="preserve">округа</w:t>
      </w:r>
      <w:r>
        <w:rPr>
          <w:b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4.1. Первое стратегическое направление</w:t>
      </w:r>
      <w:r>
        <w:rPr>
          <w:b/>
          <w:i/>
          <w:sz w:val="28"/>
          <w:szCs w:val="28"/>
        </w:rPr>
        <w:t xml:space="preserve"> – «Развитие человеческого капитала Чернянского муниципального округа</w:t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</w:p>
    <w:p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4.1.1. Улучшение демографической ситуации и укрепление здоровья населения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spacing w:line="100" w:lineRule="atLea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Основными </w:t>
      </w:r>
      <w:r>
        <w:rPr>
          <w:i/>
          <w:sz w:val="28"/>
          <w:szCs w:val="28"/>
        </w:rPr>
        <w:t xml:space="preserve">стратегическими </w:t>
      </w:r>
      <w:r>
        <w:rPr>
          <w:i/>
          <w:sz w:val="28"/>
          <w:szCs w:val="28"/>
        </w:rPr>
        <w:t xml:space="preserve">задачами являются: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</w:t>
      </w:r>
      <w:r>
        <w:rPr>
          <w:sz w:val="28"/>
          <w:szCs w:val="28"/>
        </w:rPr>
        <w:t xml:space="preserve">оздание условий для улучшения демографической ситуации и совершенствование системы здравоохранения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ф</w:t>
      </w:r>
      <w:r>
        <w:rPr>
          <w:sz w:val="28"/>
          <w:szCs w:val="28"/>
        </w:rPr>
        <w:t xml:space="preserve">ормирование мотивации для ведения здорового образа жизни, занятий физкультурой и спортом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 xml:space="preserve">Решение данных задач позволит добиться улучшения демографической ситуации, стабилизировать численность населения.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возникает необходимость инновационного развития здрав</w:t>
      </w:r>
      <w:r>
        <w:rPr>
          <w:sz w:val="28"/>
          <w:szCs w:val="28"/>
        </w:rPr>
        <w:t xml:space="preserve">оохранения, что  обусловлено двумя факторами. С одной стороны, имеет место негативная демографическая тенденция, которая предполагает дальнейшее уменьшение числа жителей, численности трудоспособного населения при увеличении доли детей и лиц пожилого возрас</w:t>
      </w:r>
      <w:r>
        <w:rPr>
          <w:sz w:val="28"/>
          <w:szCs w:val="28"/>
        </w:rPr>
        <w:t xml:space="preserve">та, снижение численности женщин репродуктивного возраста (15-49 лет) и, как следствие, рождаемости. С другой стороны, объективно развиваются новые медицинские и социальные технологии, позволяющие оказывать реальное влияние на показатели здоровья населения.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этих условиях необходима реализация мер долгосрочного характера, направленных на су</w:t>
      </w:r>
      <w:r>
        <w:rPr>
          <w:sz w:val="28"/>
          <w:szCs w:val="28"/>
        </w:rPr>
        <w:t xml:space="preserve">щественное снижение предотвратимых потерь здоровья, масштабов смертности в трудоспособном возрасте, что обеспечит наиболее эффективный путь роста продолжительности жизни населения, его трудового и репродуктивного потенциала, укрепление здоровья населения.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решения поставленных задач предполагается: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>
        <w:rPr>
          <w:sz w:val="28"/>
          <w:szCs w:val="28"/>
        </w:rPr>
        <w:t xml:space="preserve">завершение создания единой информационной системы здравоохранения;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продолжение работы по переориентации объемов оказания медицинской помощи на амбулаторное звено, выделение коек интенсивного, восстановительного лечения и реабилитации;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увеличение укомплектованности врачебными кадрами за счет привлечения молодых специалистов, предоставления социальных льгот, единовременных выплат и предоставления жилья;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безопаснос</w:t>
      </w:r>
      <w:r>
        <w:rPr>
          <w:sz w:val="28"/>
          <w:szCs w:val="28"/>
        </w:rPr>
        <w:t xml:space="preserve">ти, эффективности и доступности </w:t>
      </w:r>
      <w:r>
        <w:rPr>
          <w:sz w:val="28"/>
          <w:szCs w:val="28"/>
        </w:rPr>
        <w:t xml:space="preserve">медицинской помощи для всех слоев населения;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совершенствование реабилитационной медицины.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Ожидаемые результаты к 2030 году: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- увеличение ожидаемой продолжительности жизни при рождении до 78 лет;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увеличение общего коэффициента рождаемости (чел. на 1 тыс. населения) до 12,5 человек;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line="100" w:lineRule="atLeast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4.1.2. Повышение качества образования и укрепление трудового потенциала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b/>
          <w:sz w:val="28"/>
          <w:szCs w:val="28"/>
          <w:u w:val="single"/>
        </w:rPr>
        <w:outlineLvl w:val="0"/>
      </w:pPr>
      <w:r>
        <w:rPr>
          <w:b/>
          <w:sz w:val="28"/>
          <w:szCs w:val="28"/>
          <w:u w:val="single"/>
        </w:rPr>
      </w:r>
      <w:r>
        <w:rPr>
          <w:b/>
          <w:sz w:val="28"/>
          <w:szCs w:val="28"/>
          <w:u w:val="single"/>
        </w:rPr>
      </w:r>
      <w:r>
        <w:rPr>
          <w:b/>
          <w:sz w:val="28"/>
          <w:szCs w:val="28"/>
          <w:u w:val="single"/>
        </w:rPr>
      </w:r>
    </w:p>
    <w:p>
      <w:pPr>
        <w:pStyle w:val="1285"/>
        <w:ind w:firstLine="709"/>
        <w:jc w:val="both"/>
        <w:widowControl w:val="off"/>
        <w:rPr>
          <w:b/>
          <w:sz w:val="28"/>
          <w:szCs w:val="28"/>
          <w:u w:val="single"/>
        </w:rPr>
        <w:outlineLvl w:val="0"/>
      </w:pPr>
      <w:r>
        <w:rPr>
          <w:b/>
          <w:sz w:val="28"/>
          <w:szCs w:val="28"/>
          <w:u w:val="single"/>
        </w:rPr>
        <w:t xml:space="preserve">Стратегические задачи в сфере образования:</w:t>
      </w:r>
      <w:r>
        <w:rPr>
          <w:b/>
          <w:sz w:val="28"/>
          <w:szCs w:val="28"/>
          <w:u w:val="single"/>
        </w:rPr>
      </w:r>
      <w:r>
        <w:rPr>
          <w:b/>
          <w:sz w:val="28"/>
          <w:szCs w:val="28"/>
          <w:u w:val="single"/>
        </w:rPr>
      </w:r>
    </w:p>
    <w:p>
      <w:pPr>
        <w:pStyle w:val="1285"/>
        <w:ind w:firstLine="709"/>
        <w:jc w:val="both"/>
        <w:widowControl w:val="off"/>
        <w:rPr>
          <w:color w:val="auto"/>
          <w:sz w:val="28"/>
          <w:szCs w:val="28"/>
        </w:rPr>
        <w:outlineLvl w:val="0"/>
      </w:pPr>
      <w:r>
        <w:rPr>
          <w:color w:val="auto"/>
          <w:sz w:val="28"/>
          <w:szCs w:val="28"/>
        </w:rPr>
        <w:t xml:space="preserve">1. </w:t>
      </w:r>
      <w:r>
        <w:rPr>
          <w:color w:val="auto"/>
          <w:sz w:val="28"/>
          <w:szCs w:val="28"/>
        </w:rPr>
        <w:t xml:space="preserve">С</w:t>
      </w:r>
      <w:r>
        <w:rPr>
          <w:color w:val="auto"/>
          <w:sz w:val="28"/>
          <w:szCs w:val="28"/>
        </w:rPr>
        <w:t xml:space="preserve">оздание необходимых условий для развития личности; 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color w:val="auto"/>
          <w:sz w:val="28"/>
          <w:szCs w:val="28"/>
        </w:rPr>
        <w:outlineLvl w:val="0"/>
      </w:pPr>
      <w:r>
        <w:rPr>
          <w:color w:val="auto"/>
          <w:sz w:val="28"/>
          <w:szCs w:val="28"/>
        </w:rPr>
        <w:t xml:space="preserve">2. </w:t>
      </w:r>
      <w:r>
        <w:rPr>
          <w:color w:val="auto"/>
          <w:sz w:val="28"/>
          <w:szCs w:val="28"/>
        </w:rPr>
        <w:t xml:space="preserve">З</w:t>
      </w:r>
      <w:r>
        <w:rPr>
          <w:color w:val="auto"/>
          <w:sz w:val="28"/>
          <w:szCs w:val="28"/>
        </w:rPr>
        <w:t xml:space="preserve">апуск механизмов развития и саморазвития самой системы образования; 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color w:val="auto"/>
          <w:sz w:val="28"/>
          <w:szCs w:val="28"/>
        </w:rPr>
        <w:outlineLvl w:val="0"/>
      </w:pPr>
      <w:r>
        <w:rPr>
          <w:color w:val="auto"/>
          <w:sz w:val="28"/>
          <w:szCs w:val="28"/>
        </w:rPr>
        <w:t xml:space="preserve">3. </w:t>
      </w:r>
      <w:r>
        <w:rPr>
          <w:color w:val="auto"/>
          <w:sz w:val="28"/>
          <w:szCs w:val="28"/>
        </w:rPr>
        <w:t xml:space="preserve">П</w:t>
      </w:r>
      <w:r>
        <w:rPr>
          <w:color w:val="auto"/>
          <w:sz w:val="28"/>
          <w:szCs w:val="28"/>
        </w:rPr>
        <w:t xml:space="preserve">ревращение образования в действенный фактор развития общест</w:t>
      </w:r>
      <w:r>
        <w:rPr>
          <w:color w:val="auto"/>
          <w:sz w:val="28"/>
          <w:szCs w:val="28"/>
        </w:rPr>
        <w:t xml:space="preserve">ва;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b/>
          <w:sz w:val="28"/>
          <w:szCs w:val="28"/>
          <w:u w:val="single"/>
        </w:rPr>
        <w:outlineLvl w:val="0"/>
      </w:pPr>
      <w:r>
        <w:rPr>
          <w:color w:val="auto"/>
          <w:sz w:val="28"/>
          <w:szCs w:val="28"/>
        </w:rPr>
        <w:t xml:space="preserve">4. </w:t>
      </w:r>
      <w:r>
        <w:rPr>
          <w:color w:val="auto"/>
          <w:sz w:val="28"/>
          <w:szCs w:val="28"/>
        </w:rPr>
        <w:t xml:space="preserve">П</w:t>
      </w:r>
      <w:r>
        <w:rPr>
          <w:color w:val="auto"/>
          <w:sz w:val="28"/>
          <w:szCs w:val="28"/>
        </w:rPr>
        <w:t xml:space="preserve">реемственность образования. </w:t>
      </w:r>
      <w:r>
        <w:rPr>
          <w:b/>
          <w:sz w:val="28"/>
          <w:szCs w:val="28"/>
          <w:u w:val="single"/>
        </w:rPr>
      </w:r>
      <w:r>
        <w:rPr>
          <w:b/>
          <w:sz w:val="28"/>
          <w:szCs w:val="28"/>
          <w:u w:val="single"/>
        </w:rPr>
      </w:r>
    </w:p>
    <w:p>
      <w:pPr>
        <w:pStyle w:val="1285"/>
        <w:ind w:firstLine="709"/>
        <w:jc w:val="both"/>
        <w:widowControl w:val="off"/>
        <w:rPr>
          <w:b/>
          <w:sz w:val="28"/>
          <w:szCs w:val="28"/>
          <w:u w:val="single"/>
        </w:rPr>
        <w:outlineLvl w:val="0"/>
      </w:pPr>
      <w:r>
        <w:rPr>
          <w:b/>
          <w:sz w:val="28"/>
          <w:szCs w:val="28"/>
          <w:u w:val="single"/>
        </w:rPr>
        <w:t xml:space="preserve">Приоритетными </w:t>
      </w:r>
      <w:r>
        <w:rPr>
          <w:b/>
          <w:sz w:val="28"/>
          <w:szCs w:val="28"/>
          <w:u w:val="single"/>
        </w:rPr>
        <w:t xml:space="preserve">мерами</w:t>
      </w:r>
      <w:r>
        <w:rPr>
          <w:b/>
          <w:sz w:val="28"/>
          <w:szCs w:val="28"/>
          <w:u w:val="single"/>
        </w:rPr>
        <w:t xml:space="preserve"> в сфере образования являются:</w:t>
      </w:r>
      <w:r>
        <w:rPr>
          <w:b/>
          <w:sz w:val="28"/>
          <w:szCs w:val="28"/>
          <w:u w:val="single"/>
        </w:rPr>
      </w:r>
      <w:r>
        <w:rPr>
          <w:b/>
          <w:sz w:val="28"/>
          <w:szCs w:val="28"/>
          <w:u w:val="single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</w:t>
      </w:r>
      <w:r>
        <w:rPr>
          <w:sz w:val="28"/>
          <w:szCs w:val="28"/>
        </w:rPr>
        <w:t xml:space="preserve">еализация мероприятий по развитию образования в Чернянском муниципальном округе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</w:t>
      </w:r>
      <w:r>
        <w:rPr>
          <w:sz w:val="28"/>
          <w:szCs w:val="28"/>
        </w:rPr>
        <w:t xml:space="preserve">еализация на территории округа приоритетного национального проекта «Образование»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</w:t>
      </w:r>
      <w:r>
        <w:rPr>
          <w:sz w:val="28"/>
          <w:szCs w:val="28"/>
        </w:rPr>
        <w:t xml:space="preserve">еализация комплекса мероприятий подпрограммы «Развитие дошкольного образования»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реализация мероприятий</w:t>
      </w:r>
      <w:r>
        <w:rPr>
          <w:sz w:val="28"/>
          <w:szCs w:val="28"/>
        </w:rPr>
        <w:t xml:space="preserve"> муниципальной программы «Развитие образования Чернянского муниципального округа»</w:t>
      </w:r>
      <w:r>
        <w:rPr>
          <w:sz w:val="28"/>
          <w:szCs w:val="28"/>
        </w:rPr>
        <w:t xml:space="preserve"> подпрограммы «Развитие дополнительного образования детей»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</w:t>
      </w:r>
      <w:r>
        <w:rPr>
          <w:sz w:val="28"/>
          <w:szCs w:val="28"/>
        </w:rPr>
        <w:t xml:space="preserve">еализация мероприятий </w:t>
      </w:r>
      <w:r>
        <w:rPr>
          <w:sz w:val="28"/>
          <w:szCs w:val="28"/>
        </w:rPr>
        <w:t xml:space="preserve">муниципальной программы </w:t>
      </w:r>
      <w:r>
        <w:rPr>
          <w:sz w:val="28"/>
          <w:szCs w:val="28"/>
        </w:rPr>
        <w:t xml:space="preserve">«Развитие образования Чернянского муниципального округа» </w:t>
      </w:r>
      <w:r>
        <w:rPr>
          <w:sz w:val="28"/>
          <w:szCs w:val="28"/>
        </w:rPr>
        <w:t xml:space="preserve">подпрограммы «Организация  отдыха и оздоровление  детей и подростков»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</w:t>
      </w:r>
      <w:r>
        <w:rPr>
          <w:sz w:val="28"/>
          <w:szCs w:val="28"/>
        </w:rPr>
        <w:t xml:space="preserve">рганизация мероприятий по обучению школьников основам предпринимательства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</w:t>
      </w:r>
      <w:r>
        <w:rPr>
          <w:sz w:val="28"/>
          <w:szCs w:val="28"/>
        </w:rPr>
        <w:t xml:space="preserve">рганизация бесплатного питания школьников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</w:t>
      </w:r>
      <w:r>
        <w:rPr>
          <w:sz w:val="28"/>
          <w:szCs w:val="28"/>
        </w:rPr>
        <w:t xml:space="preserve">еализация мероприятий </w:t>
      </w:r>
      <w:r>
        <w:rPr>
          <w:sz w:val="28"/>
          <w:szCs w:val="28"/>
        </w:rPr>
        <w:t xml:space="preserve">муниципальной программы </w:t>
      </w:r>
      <w:r>
        <w:rPr>
          <w:sz w:val="28"/>
          <w:szCs w:val="28"/>
        </w:rPr>
        <w:t xml:space="preserve">«Развитие образования Чернянского муниципального округа» </w:t>
      </w:r>
      <w:r>
        <w:rPr>
          <w:sz w:val="28"/>
          <w:szCs w:val="28"/>
        </w:rPr>
        <w:t xml:space="preserve">подпрограммы «Развитие общего образования»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widowControl w:val="off"/>
        <w:rPr>
          <w:b/>
          <w:sz w:val="28"/>
          <w:szCs w:val="28"/>
        </w:rPr>
      </w:pPr>
      <w:r>
        <w:rPr>
          <w:iCs/>
          <w:sz w:val="28"/>
          <w:szCs w:val="28"/>
        </w:rPr>
        <w:t xml:space="preserve">Ожидаемые результаты к 2030 году</w:t>
      </w:r>
      <w:r>
        <w:rPr>
          <w:i/>
          <w:iCs/>
          <w:sz w:val="28"/>
          <w:szCs w:val="28"/>
        </w:rPr>
        <w:t xml:space="preserve">: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851"/>
        <w:jc w:val="both"/>
        <w:rPr>
          <w:sz w:val="28"/>
          <w:szCs w:val="26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6"/>
        </w:rPr>
        <w:t xml:space="preserve">о</w:t>
      </w:r>
      <w:r>
        <w:rPr>
          <w:sz w:val="28"/>
          <w:szCs w:val="26"/>
        </w:rPr>
        <w:t xml:space="preserve">хват</w:t>
      </w:r>
      <w:r>
        <w:rPr>
          <w:sz w:val="28"/>
          <w:szCs w:val="26"/>
        </w:rPr>
        <w:t xml:space="preserve">ить </w:t>
      </w:r>
      <w:r>
        <w:rPr>
          <w:sz w:val="28"/>
        </w:rPr>
        <w:t xml:space="preserve">80</w:t>
      </w:r>
      <w:r>
        <w:rPr>
          <w:sz w:val="28"/>
        </w:rPr>
        <w:t xml:space="preserve">%  </w:t>
      </w:r>
      <w:r>
        <w:rPr>
          <w:sz w:val="28"/>
          <w:szCs w:val="26"/>
        </w:rPr>
        <w:t xml:space="preserve">детей в возрасте с 1 до 6 лет </w:t>
      </w:r>
      <w:r>
        <w:rPr>
          <w:sz w:val="28"/>
          <w:szCs w:val="26"/>
        </w:rPr>
        <w:t xml:space="preserve"> дошкольным образовани</w:t>
      </w:r>
      <w:r>
        <w:rPr>
          <w:sz w:val="28"/>
          <w:szCs w:val="26"/>
        </w:rPr>
        <w:t xml:space="preserve">ем;</w:t>
      </w:r>
      <w:r>
        <w:rPr>
          <w:sz w:val="28"/>
          <w:szCs w:val="26"/>
        </w:rPr>
      </w:r>
      <w:r>
        <w:rPr>
          <w:sz w:val="28"/>
          <w:szCs w:val="26"/>
        </w:rPr>
      </w:r>
    </w:p>
    <w:p>
      <w:pPr>
        <w:pStyle w:val="1285"/>
        <w:ind w:firstLine="851"/>
        <w:jc w:val="both"/>
        <w:widowControl w:val="off"/>
        <w:rPr>
          <w:b/>
          <w:sz w:val="28"/>
          <w:szCs w:val="28"/>
          <w:u w:val="single"/>
        </w:rPr>
        <w:outlineLvl w:val="0"/>
      </w:pPr>
      <w:r>
        <w:rPr>
          <w:sz w:val="28"/>
          <w:szCs w:val="28"/>
        </w:rPr>
        <w:t xml:space="preserve">- обеспечить</w:t>
      </w:r>
      <w:r>
        <w:rPr>
          <w:sz w:val="28"/>
          <w:szCs w:val="28"/>
        </w:rPr>
        <w:t xml:space="preserve"> 100% воспитанникам дошкольных образовательных организаций обучения по программам, соответствующим федеральным государственным образовательным стандартам дошкольного образования</w:t>
      </w:r>
      <w:r>
        <w:rPr>
          <w:sz w:val="28"/>
          <w:szCs w:val="28"/>
        </w:rPr>
        <w:t xml:space="preserve">;</w:t>
      </w:r>
      <w:r>
        <w:rPr>
          <w:b/>
          <w:sz w:val="28"/>
          <w:szCs w:val="28"/>
          <w:u w:val="single"/>
        </w:rPr>
      </w:r>
      <w:r>
        <w:rPr>
          <w:b/>
          <w:sz w:val="28"/>
          <w:szCs w:val="28"/>
          <w:u w:val="single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</w:t>
      </w:r>
      <w:r>
        <w:rPr>
          <w:sz w:val="28"/>
          <w:szCs w:val="28"/>
        </w:rPr>
        <w:t xml:space="preserve">ормирование учебного плана учреждений с уч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том осуществления </w:t>
      </w:r>
      <w:r>
        <w:rPr>
          <w:sz w:val="28"/>
          <w:szCs w:val="28"/>
        </w:rPr>
        <w:t xml:space="preserve">предпрофильной</w:t>
      </w:r>
      <w:r>
        <w:rPr>
          <w:sz w:val="28"/>
          <w:szCs w:val="28"/>
        </w:rPr>
        <w:t xml:space="preserve"> подготовки, выбора профилей обучения родителями, обучающимися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построены спортивные площадки и отремонтированы спортивные залы.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4.1.3. Повышение уровня жизни и социальная защита населения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Главной целью экономической политики </w:t>
      </w:r>
      <w:r>
        <w:rPr>
          <w:bCs/>
          <w:sz w:val="28"/>
          <w:szCs w:val="28"/>
        </w:rPr>
        <w:t xml:space="preserve">муниципального округа</w:t>
      </w:r>
      <w:r>
        <w:rPr>
          <w:sz w:val="28"/>
          <w:szCs w:val="28"/>
        </w:rPr>
        <w:t xml:space="preserve"> является </w:t>
      </w:r>
      <w:r>
        <w:rPr>
          <w:bCs/>
          <w:iCs/>
          <w:sz w:val="28"/>
          <w:szCs w:val="28"/>
        </w:rPr>
        <w:t xml:space="preserve">повышение уровня и качества жизни населения.</w:t>
      </w:r>
      <w:r>
        <w:rPr>
          <w:bCs/>
          <w:iCs/>
          <w:sz w:val="28"/>
          <w:szCs w:val="28"/>
        </w:rPr>
      </w:r>
      <w:r>
        <w:rPr>
          <w:bCs/>
          <w:iCs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Экономическая политика должна учитывать перспективу ухудшения возрастной структуры населения, наиболее вероятное уменьшение чи</w:t>
      </w:r>
      <w:r>
        <w:rPr>
          <w:sz w:val="28"/>
          <w:szCs w:val="28"/>
        </w:rPr>
        <w:t xml:space="preserve">сленности занятых в экономике на ближайшие 10-15 лет. При этом наиболее вероятен рост количества пенсионеров и вытекающая из этого возрастающая нагрузка регионального и муниципального бюджета по расходам на социальную поддержку населения и здравоохранение.</w:t>
      </w:r>
      <w:r>
        <w:rPr>
          <w:bCs/>
          <w:iCs/>
          <w:sz w:val="28"/>
          <w:szCs w:val="28"/>
        </w:rPr>
      </w:r>
      <w:r>
        <w:rPr>
          <w:bCs/>
          <w:iCs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Одним из важнейших приоритетов экономической политики в муниципальном округе должна стать работа по снижению издержек, как государственных и муниципальных учреждений, так и иных хозяйствующих субъектов.</w:t>
      </w: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Основными задачами являются: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>
        <w:rPr>
          <w:sz w:val="28"/>
          <w:szCs w:val="28"/>
        </w:rPr>
        <w:t xml:space="preserve">р</w:t>
      </w:r>
      <w:r>
        <w:rPr>
          <w:sz w:val="28"/>
          <w:szCs w:val="28"/>
        </w:rPr>
        <w:t xml:space="preserve">азвитие мер социальной поддержки отдельных категорий граждан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>
        <w:rPr>
          <w:sz w:val="28"/>
          <w:szCs w:val="28"/>
        </w:rPr>
        <w:t xml:space="preserve">м</w:t>
      </w:r>
      <w:r>
        <w:rPr>
          <w:sz w:val="28"/>
          <w:szCs w:val="28"/>
        </w:rPr>
        <w:t xml:space="preserve">одернизация и развитие социального обслуживания населения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с</w:t>
      </w:r>
      <w:r>
        <w:rPr>
          <w:sz w:val="28"/>
          <w:szCs w:val="28"/>
        </w:rPr>
        <w:t xml:space="preserve">оциальная поддержка семьи и детей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р</w:t>
      </w:r>
      <w:r>
        <w:rPr>
          <w:sz w:val="28"/>
          <w:szCs w:val="28"/>
        </w:rPr>
        <w:t xml:space="preserve">еализация мероприятий содействия занятости населения, профессиональной подготовки, переподготовки и повышения квалификации населения Чернянского округа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>
        <w:rPr>
          <w:sz w:val="28"/>
          <w:szCs w:val="28"/>
        </w:rPr>
        <w:t xml:space="preserve">мероприятия</w:t>
      </w:r>
      <w:r>
        <w:rPr>
          <w:sz w:val="28"/>
          <w:szCs w:val="28"/>
        </w:rPr>
        <w:t xml:space="preserve"> по квотированию рабочих мест на предприятиях и в организациях муниципального района для трудоустройства граждан, относящихся к категории испытывающих трудности в поиске работы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с</w:t>
      </w:r>
      <w:r>
        <w:rPr>
          <w:sz w:val="28"/>
          <w:szCs w:val="28"/>
        </w:rPr>
        <w:t xml:space="preserve">оциальная адаптация лиц, отбывших наказание в виде лишения свободы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Решение данных задач позволит к 2030 году добиться следующих показателе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>
        <w:rPr>
          <w:sz w:val="28"/>
          <w:szCs w:val="28"/>
        </w:rPr>
        <w:t xml:space="preserve">повысить уровень социальной грамотности среди граждан пожилого возраста Чернянского округа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повысить долю граждан, получающих меры социальной поддержки, в общей численности граждан, обратившихся за получением мер социальной поддержки в соответствии с нормативными правовыми актами Российской Федерации и Белгородской области до 98%;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повысить среднемесячную заработную плату одного работника  (по полному кругу организаций) до 76 283 рублей;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- </w:t>
      </w:r>
      <w:r>
        <w:rPr>
          <w:sz w:val="28"/>
          <w:szCs w:val="28"/>
        </w:rPr>
        <w:t xml:space="preserve">трудоустройство на квотируемые рабочие места.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center"/>
        <w:widowControl w:val="o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4.1.4. Развитие культурного потенциала и воспитание молодого поколения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285"/>
        <w:ind w:firstLine="709"/>
        <w:jc w:val="center"/>
        <w:widowControl w:val="off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Стратегической задачей</w:t>
      </w:r>
      <w:r>
        <w:rPr>
          <w:sz w:val="28"/>
          <w:szCs w:val="28"/>
        </w:rPr>
        <w:t xml:space="preserve"> развития сферы культуры является превращение отрасли в  источник всестороннего развития и формирования конкурентоспособного человека, утверждение имиджа города и округа как значимого культурно-исторического региона Белгородской области.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Для решения задачи</w:t>
      </w:r>
      <w:r>
        <w:rPr>
          <w:sz w:val="28"/>
          <w:szCs w:val="28"/>
        </w:rPr>
        <w:t xml:space="preserve"> предполагает</w:t>
      </w:r>
      <w:r>
        <w:rPr>
          <w:sz w:val="28"/>
          <w:szCs w:val="28"/>
        </w:rPr>
        <w:t xml:space="preserve">ся</w:t>
      </w:r>
      <w:r>
        <w:rPr>
          <w:sz w:val="28"/>
          <w:szCs w:val="28"/>
        </w:rPr>
        <w:t xml:space="preserve"> осущест</w:t>
      </w:r>
      <w:r>
        <w:rPr>
          <w:sz w:val="28"/>
          <w:szCs w:val="28"/>
        </w:rPr>
        <w:t xml:space="preserve">вление следующих основных мер: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р</w:t>
      </w:r>
      <w:r>
        <w:rPr>
          <w:sz w:val="28"/>
          <w:szCs w:val="28"/>
        </w:rPr>
        <w:t xml:space="preserve">еализация подпрограммы «Развитие туризма» муниципальной программы «Развитие экономического потенциала и формирование благоприятного предпринимательского климата в Чернянском муниципальном округе Белгородской области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8"/>
        <w:ind w:firstLine="709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реализация муниципальной программы «Развитие и сохранение культуры Чернянского муниципального округа Белгород</w:t>
      </w:r>
      <w:r>
        <w:rPr>
          <w:sz w:val="28"/>
          <w:szCs w:val="28"/>
        </w:rPr>
        <w:t xml:space="preserve">ской области»;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8"/>
        <w:ind w:firstLine="70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р</w:t>
      </w:r>
      <w:r>
        <w:rPr>
          <w:sz w:val="28"/>
          <w:szCs w:val="28"/>
        </w:rPr>
        <w:t xml:space="preserve">азвитие библиотечного дела,  обеспечение доступа населения округа к информационно-биб</w:t>
      </w:r>
      <w:r>
        <w:rPr>
          <w:sz w:val="28"/>
          <w:szCs w:val="28"/>
        </w:rPr>
        <w:t xml:space="preserve">лиотечным ресурсам, создание условий для повышения качества и доступности библиотечных услуг, интеллектуального развития населения района на основе формирования единого библиотечно-информационного и культурного пространства на территории Чернянского округа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8"/>
        <w:ind w:firstLine="70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р</w:t>
      </w:r>
      <w:r>
        <w:rPr>
          <w:sz w:val="28"/>
          <w:szCs w:val="28"/>
        </w:rPr>
        <w:t xml:space="preserve">азвитие музейного дела в муниципальном округе и обеспечение доступа населения к музейным предметам и музейным ценностям, сохранения и популяризации музейных коллекций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8"/>
        <w:ind w:firstLine="70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х</w:t>
      </w:r>
      <w:r>
        <w:rPr>
          <w:sz w:val="28"/>
          <w:szCs w:val="28"/>
        </w:rPr>
        <w:t xml:space="preserve">удожественно – эстетическое образование детей. Открытие классов и филиалов детских школ искусств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widowControl w:val="off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Ожидаемые результаты к 2030 году: 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pStyle w:val="1038"/>
        <w:ind w:firstLine="70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довести число посещений музеев до 64 тыс. посещений;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8"/>
        <w:ind w:firstLine="709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увеличить удельный вес молодежи, охваченной мероприятиями молодежной политики, к общему числу молодежи до 85%.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  <w:sectPr>
          <w:headerReference w:type="default" r:id="rId13"/>
          <w:footnotePr/>
          <w:endnotePr/>
          <w:type w:val="nextPage"/>
          <w:pgSz w:w="11906" w:h="16838" w:orient="portrait"/>
          <w:pgMar w:top="993" w:right="850" w:bottom="851" w:left="1701" w:header="397" w:footer="0" w:gutter="0"/>
          <w:pgNumType w:start="47"/>
          <w:cols w:num="1" w:sep="0" w:space="708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bCs/>
          <w:iCs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Индикаторы реализации первого стратегического направления -</w:t>
      </w:r>
      <w:r>
        <w:rPr>
          <w:b/>
          <w:bCs/>
          <w:iCs/>
          <w:sz w:val="32"/>
          <w:szCs w:val="32"/>
          <w:u w:val="single"/>
        </w:rPr>
      </w:r>
      <w:r>
        <w:rPr>
          <w:b/>
          <w:bCs/>
          <w:iCs/>
          <w:sz w:val="32"/>
          <w:szCs w:val="32"/>
          <w:u w:val="single"/>
        </w:rPr>
      </w:r>
    </w:p>
    <w:p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«Развитие человеческого капитала Чернянского муниципального округа»</w:t>
      </w:r>
      <w:r>
        <w:rPr>
          <w:b/>
          <w:i/>
          <w:sz w:val="32"/>
          <w:szCs w:val="32"/>
          <w:u w:val="single"/>
        </w:rPr>
      </w:r>
      <w:r>
        <w:rPr>
          <w:b/>
          <w:i/>
          <w:sz w:val="32"/>
          <w:szCs w:val="32"/>
          <w:u w:val="single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bCs/>
          <w:sz w:val="28"/>
          <w:szCs w:val="28"/>
        </w:rPr>
      </w:r>
    </w:p>
    <w:tbl>
      <w:tblPr>
        <w:tblW w:w="5127" w:type="pct"/>
        <w:jc w:val="center"/>
        <w:tblInd w:w="-128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087"/>
        <w:gridCol w:w="7105"/>
        <w:gridCol w:w="1709"/>
        <w:gridCol w:w="1592"/>
        <w:gridCol w:w="2172"/>
        <w:gridCol w:w="1932"/>
        <w:gridCol w:w="1932"/>
      </w:tblGrid>
      <w:tr>
        <w:tblPrEx/>
        <w:trPr>
          <w:cantSplit/>
          <w:jc w:val="center"/>
          <w:trHeight w:val="300"/>
          <w:tblHeader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№ п/п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7105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Индикаторы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2011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отчет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592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2016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отчет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2020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отчет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2025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отчет</w:t>
            </w:r>
            <w:r>
              <w:rPr>
                <w:b/>
              </w:rPr>
            </w:r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2030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прогноз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trHeight w:val="300"/>
        </w:trPr>
        <w:tc>
          <w:tcPr>
            <w:gridSpan w:val="7"/>
            <w:tcW w:w="15596" w:type="dxa"/>
            <w:vMerge w:val="restart"/>
            <w:textDirection w:val="lrTb"/>
            <w:noWrap w:val="false"/>
          </w:tcPr>
          <w:p>
            <w:pPr>
              <w:jc w:val="center"/>
            </w:pPr>
            <w:r>
              <w:rPr>
                <w:b/>
              </w:rPr>
              <w:t xml:space="preserve">Улучшение демографической ситуации и укрепление здоровья населения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ind w:left="113" w:hanging="113"/>
              <w:jc w:val="center"/>
            </w:pPr>
            <w:r>
              <w:t xml:space="preserve">1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jc w:val="both"/>
            </w:pPr>
            <w:r>
              <w:t xml:space="preserve">Среднегодовая численность населения, (</w:t>
            </w:r>
            <w:r>
              <w:t xml:space="preserve">тыс.</w:t>
            </w:r>
            <w:r>
              <w:t xml:space="preserve"> человек)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32,32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31,38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30,95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28,1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27,8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jc w:val="both"/>
            </w:pPr>
            <w:r>
              <w:t xml:space="preserve">Ожидаемая продолжительность жизни при рождении, лет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70,0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70,8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73,2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white"/>
              </w:rPr>
            </w:pPr>
            <w:r>
              <w:rPr>
                <w:highlight w:val="white"/>
              </w:rPr>
              <w:t xml:space="preserve">75,0</w:t>
            </w:r>
            <w:r>
              <w:rPr>
                <w:highlight w:val="white"/>
              </w:rPr>
            </w:r>
            <w:r>
              <w:rPr>
                <w:highlight w:val="white"/>
              </w:rPr>
            </w:r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78,0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jc w:val="both"/>
            </w:pPr>
            <w:r>
              <w:t xml:space="preserve">Общий коэффициент рождаемости (чел. на 1 </w:t>
            </w:r>
            <w:r>
              <w:t xml:space="preserve">тыс.</w:t>
            </w:r>
            <w:r>
              <w:t xml:space="preserve"> населения)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12,5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10,1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11,7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12,5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12,5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jc w:val="both"/>
            </w:pPr>
            <w:r>
              <w:t xml:space="preserve">Общий коэффициент смертности (чел. на 1 </w:t>
            </w:r>
            <w:r>
              <w:t xml:space="preserve">тыс.</w:t>
            </w:r>
            <w:r>
              <w:t xml:space="preserve"> населения)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18,5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16,2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16,2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16,</w:t>
            </w:r>
            <w:r>
              <w:t xml:space="preserve">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16,</w:t>
            </w:r>
            <w:r>
              <w:t xml:space="preserve">0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jc w:val="both"/>
            </w:pPr>
            <w:r>
              <w:t xml:space="preserve">Младенческая смертность (случаев на 1 </w:t>
            </w:r>
            <w:r>
              <w:t xml:space="preserve">тыс.</w:t>
            </w:r>
            <w:r>
              <w:t xml:space="preserve"> родившихся живыми)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8,5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3,1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1,0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jc w:val="both"/>
            </w:pPr>
            <w:r>
              <w:t xml:space="preserve">Смертность от болезней системы кровообращения (случаев на 100 </w:t>
            </w:r>
            <w:r>
              <w:t xml:space="preserve">тыс.</w:t>
            </w:r>
            <w:r>
              <w:t xml:space="preserve"> человек)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1441,0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857,5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830,0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800,0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800,0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7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jc w:val="both"/>
            </w:pPr>
            <w:r>
              <w:t xml:space="preserve">Смертность от новообразований (случаев на 100 </w:t>
            </w:r>
            <w:r>
              <w:t xml:space="preserve">тыс.</w:t>
            </w:r>
            <w:r>
              <w:t xml:space="preserve"> человек)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172,1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257,2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230,0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210,0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210,0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8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jc w:val="both"/>
            </w:pPr>
            <w:r>
              <w:t xml:space="preserve">Смертность населения трудоспособного возраста (случаев на 1000 человек соответствующего пола и возраста)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7,2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6,1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5,5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5,0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5,0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9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jc w:val="both"/>
            </w:pPr>
            <w:r>
              <w:t xml:space="preserve">Заболеваемость алкоголизмом (случаев на 100 </w:t>
            </w:r>
            <w:r>
              <w:t xml:space="preserve">тыс.</w:t>
            </w:r>
            <w:r>
              <w:t xml:space="preserve"> человек)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998,5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838,4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789,0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750,0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750,0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10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jc w:val="both"/>
            </w:pPr>
            <w:r>
              <w:t xml:space="preserve">Доля населения, регулярно занимающегося физкультурой и спортом (%)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25,0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45,9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52,1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55,3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55,3</w:t>
            </w:r>
            <w:r/>
          </w:p>
        </w:tc>
      </w:tr>
      <w:tr>
        <w:tblPrEx/>
        <w:trPr>
          <w:trHeight w:val="300"/>
        </w:trPr>
        <w:tc>
          <w:tcPr>
            <w:gridSpan w:val="7"/>
            <w:shd w:val="clear" w:color="ffffff" w:fill="ffffff"/>
            <w:tcW w:w="15596" w:type="dxa"/>
            <w:vMerge w:val="restart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Повышение качества образования и укрепление трудового потенциала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jc w:val="center"/>
          <w:trHeight w:val="300"/>
        </w:trPr>
        <w:tc>
          <w:tcPr>
            <w:shd w:val="clear" w:color="ffffff" w:fill="ffffff"/>
            <w:tcW w:w="1087" w:type="dxa"/>
            <w:textDirection w:val="lrTb"/>
            <w:noWrap w:val="false"/>
          </w:tcPr>
          <w:p>
            <w:pPr>
              <w:pStyle w:val="1285"/>
              <w:jc w:val="center"/>
            </w:pPr>
            <w:r>
              <w:t xml:space="preserve">11</w:t>
            </w:r>
            <w:r/>
          </w:p>
        </w:tc>
        <w:tc>
          <w:tcPr>
            <w:shd w:val="clear" w:color="ffffff" w:fill="ffffff"/>
            <w:tcW w:w="7105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Охват детей в возрасте 1-6 лет услугами дошкольного образования, присмотра и ухода в общей численности детей в возрасте </w:t>
            </w:r>
            <w:r>
              <w:t xml:space="preserve">1-6 лет, скорректированной на численность детей соответствующих возрастов (5-6 лет), обучающихся в общеобразовательных организациях (%)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57,4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71,9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72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75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75</w:t>
            </w:r>
            <w:r/>
          </w:p>
        </w:tc>
      </w:tr>
      <w:tr>
        <w:tblPrEx/>
        <w:trPr>
          <w:jc w:val="center"/>
          <w:trHeight w:val="300"/>
        </w:trPr>
        <w:tc>
          <w:tcPr>
            <w:shd w:val="clear" w:color="ffffff" w:fill="ffffff"/>
            <w:tcW w:w="1087" w:type="dxa"/>
            <w:textDirection w:val="lrTb"/>
            <w:noWrap w:val="false"/>
          </w:tcPr>
          <w:p>
            <w:pPr>
              <w:pStyle w:val="1285"/>
              <w:jc w:val="center"/>
            </w:pPr>
            <w:r>
              <w:t xml:space="preserve">12</w:t>
            </w:r>
            <w:r/>
          </w:p>
        </w:tc>
        <w:tc>
          <w:tcPr>
            <w:shd w:val="clear" w:color="ffffff" w:fill="ffffff"/>
            <w:tcW w:w="7105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Доля детей, зарегистрированных на получение услуг дошкольного образования в текущем году и не обеспеченных данными услугами, в общей численности детей дошкольного возраста</w:t>
            </w:r>
            <w:r>
              <w:t xml:space="preserve"> </w:t>
            </w:r>
            <w:r>
              <w:t xml:space="preserve">(%)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89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pStyle w:val="1285"/>
              <w:jc w:val="center"/>
            </w:pPr>
            <w:r>
              <w:t xml:space="preserve">13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Доля муниципальных общеобразовательных учреждений, соответствующих современным требованиям обучения, в общем количестве муниципальных общеобразовательных учреждений (%)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20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80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pStyle w:val="1285"/>
              <w:jc w:val="center"/>
            </w:pPr>
            <w:r>
              <w:t xml:space="preserve">14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Доля детей первой и второй групп здоровья в общей численности обучающихся в муниципальных общеобразовательных учреждениях (%)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90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92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</w:t>
            </w:r>
            <w:r>
              <w:t xml:space="preserve">3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</w:t>
            </w:r>
            <w:r>
              <w:t xml:space="preserve">4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</w:t>
            </w:r>
            <w:r>
              <w:t xml:space="preserve">4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pStyle w:val="1285"/>
              <w:jc w:val="center"/>
            </w:pPr>
            <w:r>
              <w:t xml:space="preserve">15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Доля детей в возрасте 5-18 лет, получающих услуги по дополнительному образованию, в общей численности детей этой возрастной группы (%)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83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89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91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91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16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jc w:val="both"/>
            </w:pPr>
            <w:r>
              <w:t xml:space="preserve">Выпуск специалистов средними специальными учебными заведениями (чел. на 10000 человек населения)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13,9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5,7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10,9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11,3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11,3</w:t>
            </w:r>
            <w:r/>
          </w:p>
        </w:tc>
      </w:tr>
      <w:tr>
        <w:tblPrEx/>
        <w:trPr>
          <w:jc w:val="center"/>
          <w:trHeight w:val="583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>
              <w:t xml:space="preserve">7</w:t>
            </w:r>
            <w:r/>
          </w:p>
        </w:tc>
        <w:tc>
          <w:tcPr>
            <w:shd w:val="clear" w:color="ffffff" w:fill="ffffff"/>
            <w:tcW w:w="7105" w:type="dxa"/>
            <w:textDirection w:val="lrTb"/>
            <w:noWrap w:val="false"/>
          </w:tcPr>
          <w:p>
            <w:pPr>
              <w:jc w:val="both"/>
            </w:pPr>
            <w:r>
              <w:t xml:space="preserve">Доля учащихся, обучающихся в современных условиях, от общего числа учащихся на всех уровнях образования (%)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20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80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</w:p>
        </w:tc>
      </w:tr>
      <w:tr>
        <w:tblPrEx/>
        <w:trPr>
          <w:jc w:val="center"/>
          <w:trHeight w:val="583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>
              <w:t xml:space="preserve">8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jc w:val="both"/>
            </w:pPr>
            <w:r>
              <w:t xml:space="preserve">Среднесписочная численность работников (по полному кругу организаций) (</w:t>
            </w:r>
            <w:r>
              <w:t xml:space="preserve">тыс.</w:t>
            </w:r>
            <w:r>
              <w:t xml:space="preserve"> человек)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7509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7621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7583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7550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7550</w:t>
            </w:r>
            <w:r/>
          </w:p>
        </w:tc>
      </w:tr>
      <w:tr>
        <w:tblPrEx/>
        <w:trPr>
          <w:jc w:val="center"/>
          <w:trHeight w:val="583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19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jc w:val="both"/>
            </w:pPr>
            <w:r>
              <w:t xml:space="preserve">Уровень зарегистрированной безработицы (%)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1,48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0,7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0,67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0,68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0,68</w:t>
            </w:r>
            <w:r/>
          </w:p>
        </w:tc>
      </w:tr>
      <w:tr>
        <w:tblPrEx/>
        <w:trPr>
          <w:jc w:val="center"/>
          <w:trHeight w:val="583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>
              <w:t xml:space="preserve">0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Удельный вес трудоустроенных граждан в общей численности граждан, обратившихся за содействием в поиске подходящей работы в органы службы занятости (%)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67,8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71,4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83,9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84,0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84,0</w:t>
            </w:r>
            <w:r/>
          </w:p>
        </w:tc>
      </w:tr>
      <w:tr>
        <w:tblPrEx/>
        <w:trPr>
          <w:jc w:val="center"/>
          <w:trHeight w:val="583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>
              <w:t xml:space="preserve">1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  <w:rPr>
                <w:highlight w:val="yellow"/>
              </w:rPr>
            </w:pPr>
            <w:r>
              <w:t xml:space="preserve">Удельный вес работников:</w:t>
            </w:r>
            <w:r>
              <w:rPr>
                <w:highlight w:val="yellow"/>
              </w:rPr>
            </w:r>
            <w:r>
              <w:rPr>
                <w:highlight w:val="yellow"/>
              </w:rPr>
            </w:r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</w:p>
        </w:tc>
      </w:tr>
      <w:tr>
        <w:tblPrEx/>
        <w:trPr>
          <w:jc w:val="center"/>
          <w:trHeight w:val="583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  <w:rPr>
                <w:spacing w:val="-4"/>
              </w:rPr>
            </w:pPr>
            <w:r>
              <w:rPr>
                <w:spacing w:val="-4"/>
              </w:rPr>
              <w:t xml:space="preserve">работали в условиях, не отвечающих санитарно-гигиеническим нормам</w:t>
            </w:r>
            <w:r>
              <w:rPr>
                <w:spacing w:val="-4"/>
              </w:rPr>
              <w:t xml:space="preserve"> (%)</w:t>
            </w:r>
            <w:r>
              <w:rPr>
                <w:spacing w:val="-4"/>
              </w:rPr>
            </w:r>
            <w:r>
              <w:rPr>
                <w:spacing w:val="-4"/>
              </w:rPr>
            </w:r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42,9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</w:tr>
      <w:tr>
        <w:tblPrEx/>
        <w:trPr>
          <w:jc w:val="center"/>
          <w:trHeight w:val="583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/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  <w:rPr>
                <w:spacing w:val="-4"/>
              </w:rPr>
            </w:pPr>
            <w:r>
              <w:rPr>
                <w:spacing w:val="-4"/>
              </w:rPr>
              <w:t xml:space="preserve">занятых на</w:t>
            </w:r>
            <w:r>
              <w:rPr>
                <w:spacing w:val="-4"/>
              </w:rPr>
              <w:t xml:space="preserve"> тяжелых работах</w:t>
            </w:r>
            <w:r>
              <w:rPr>
                <w:spacing w:val="-4"/>
              </w:rPr>
              <w:t xml:space="preserve"> (%)</w:t>
            </w:r>
            <w:r>
              <w:rPr>
                <w:spacing w:val="-4"/>
              </w:rPr>
            </w:r>
            <w:r>
              <w:rPr>
                <w:spacing w:val="-4"/>
              </w:rPr>
            </w:r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2,4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</w:tr>
      <w:tr>
        <w:tblPrEx/>
        <w:trPr>
          <w:jc w:val="center"/>
          <w:trHeight w:val="583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>
              <w:t xml:space="preserve">2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  <w:rPr>
                <w:spacing w:val="-4"/>
              </w:rPr>
            </w:pPr>
            <w:r>
              <w:rPr>
                <w:spacing w:val="-4"/>
              </w:rPr>
              <w:t xml:space="preserve">Удельный вес работников, занятых на работах с вредными и (или) опасными условиями труда (%)</w:t>
            </w:r>
            <w:r>
              <w:rPr>
                <w:spacing w:val="-4"/>
              </w:rPr>
            </w:r>
            <w:r>
              <w:rPr>
                <w:spacing w:val="-4"/>
              </w:rPr>
            </w:r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29,4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27,3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26,1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26,1</w:t>
            </w:r>
            <w:r/>
          </w:p>
        </w:tc>
      </w:tr>
      <w:tr>
        <w:tblPrEx/>
        <w:trPr>
          <w:trHeight w:val="300"/>
        </w:trPr>
        <w:tc>
          <w:tcPr>
            <w:gridSpan w:val="7"/>
            <w:tcW w:w="15596" w:type="dxa"/>
            <w:vMerge w:val="restart"/>
            <w:textDirection w:val="lrTb"/>
            <w:noWrap w:val="false"/>
          </w:tcPr>
          <w:p>
            <w:pPr>
              <w:pStyle w:val="1285"/>
              <w:jc w:val="center"/>
            </w:pPr>
            <w:r>
              <w:rPr>
                <w:b/>
              </w:rPr>
              <w:t xml:space="preserve">Повышение уровня жизни и социальная защита населения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>
              <w:t xml:space="preserve">3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Доля граждан, получающих меры социальной поддержки, в общей численности граждан, обратившихся за получением мер социальной поддержки в соответствии с нормативными правовыми актами Российской Федерации и Белгородской области (%)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97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98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98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98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98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>
              <w:t xml:space="preserve">4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Доля детей оставшихся без попечения родителей, переданных на воспитание в семьи, в общей численности детей, оставшихся без попечения родителей (%)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99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99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99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99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99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>
              <w:t xml:space="preserve">5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Количество социально значимых объектов, оборудованных с учетом потребностей инвалидов (единиц)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32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32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>
              <w:t xml:space="preserve">6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Доля инвалидов, прошедших социально-</w:t>
            </w:r>
            <w:r>
              <w:t xml:space="preserve">средовую реабилитацию, в общем количестве инвалидов (%)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>
              <w:t xml:space="preserve">7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Среднемесячная заработная плата одного работника  (по полному кругу организаций) (рублей)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13825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22043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28978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39702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39702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>
              <w:t xml:space="preserve">8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Среднемесячная заработная плата одного работника  по крупным и средним организациям (рублей)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14269,1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24670,9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32319,0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42014,0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42014,0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29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Средний размер назначенной месячной пенсии, рублей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7462,0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11160,0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12946,0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15017,0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15017,0</w:t>
            </w:r>
            <w:r/>
          </w:p>
        </w:tc>
      </w:tr>
      <w:tr>
        <w:tblPrEx/>
        <w:trPr>
          <w:trHeight w:val="300"/>
        </w:trPr>
        <w:tc>
          <w:tcPr>
            <w:gridSpan w:val="7"/>
            <w:tcW w:w="15596" w:type="dxa"/>
            <w:vMerge w:val="restart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Развитие культурного потенциала и воспитание молодого поколения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>
              <w:t xml:space="preserve">0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jc w:val="both"/>
            </w:pPr>
            <w:r>
              <w:t xml:space="preserve">Число посещений музеев (</w:t>
            </w:r>
            <w:r>
              <w:t xml:space="preserve">тыс.</w:t>
            </w:r>
            <w:r>
              <w:t xml:space="preserve"> посещений)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43,5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56,8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61,5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64,0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64,0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>
              <w:t xml:space="preserve">1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Число посещений общедоступных муниципальных библиотек (</w:t>
            </w:r>
            <w:r>
              <w:t xml:space="preserve">тыс.</w:t>
            </w:r>
            <w:r>
              <w:t xml:space="preserve"> посещений)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233,5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236,2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238,3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239,3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239,3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>
              <w:t xml:space="preserve">2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Число посещений культурно-досуговых учреждений (</w:t>
            </w:r>
            <w:r>
              <w:t xml:space="preserve">тыс.</w:t>
            </w:r>
            <w:r>
              <w:t xml:space="preserve"> посещений)</w:t>
            </w:r>
            <w:r/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577,6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821,0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821,1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821,3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821,3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1087" w:type="dxa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>
              <w:t xml:space="preserve">3</w:t>
            </w:r>
            <w:r/>
          </w:p>
        </w:tc>
        <w:tc>
          <w:tcPr>
            <w:tcW w:w="7105" w:type="dxa"/>
            <w:textDirection w:val="lrTb"/>
            <w:noWrap w:val="false"/>
          </w:tcPr>
          <w:p>
            <w:pPr>
              <w:pStyle w:val="1285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Удельный вес молодежи, охваченной мероприятиями молодежной политики, к общему числу молодежи (%)</w:t>
            </w:r>
            <w:r>
              <w:rPr>
                <w:color w:val="auto"/>
              </w:rPr>
            </w:r>
            <w:r>
              <w:rPr>
                <w:color w:val="auto"/>
              </w:rPr>
            </w:r>
          </w:p>
        </w:tc>
        <w:tc>
          <w:tcPr>
            <w:shd w:val="clear" w:color="ffffff" w:fill="ffffff"/>
            <w:tcW w:w="170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51,2</w:t>
            </w:r>
            <w:r/>
          </w:p>
        </w:tc>
        <w:tc>
          <w:tcPr>
            <w:tcW w:w="159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67,1</w:t>
            </w:r>
            <w:r/>
          </w:p>
        </w:tc>
        <w:tc>
          <w:tcPr>
            <w:tcW w:w="217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81,3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85,0</w:t>
            </w:r>
            <w:r/>
          </w:p>
        </w:tc>
        <w:tc>
          <w:tcPr>
            <w:tcW w:w="1932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85,0</w:t>
            </w:r>
            <w:r/>
          </w:p>
        </w:tc>
      </w:tr>
    </w:tbl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bCs/>
          <w:sz w:val="28"/>
          <w:szCs w:val="28"/>
        </w:rPr>
      </w:r>
      <w:r>
        <w:rPr>
          <w:b/>
          <w:bCs/>
          <w:sz w:val="28"/>
          <w:szCs w:val="28"/>
        </w:rPr>
      </w:r>
    </w:p>
    <w:p>
      <w:pPr>
        <w:rPr>
          <w:b/>
          <w:sz w:val="32"/>
          <w:szCs w:val="32"/>
        </w:rPr>
        <w:sectPr>
          <w:footnotePr/>
          <w:endnotePr/>
          <w:type w:val="nextPage"/>
          <w:pgSz w:w="16838" w:h="11906" w:orient="landscape"/>
          <w:pgMar w:top="1560" w:right="993" w:bottom="850" w:left="851" w:header="397" w:footer="0" w:gutter="0"/>
          <w:cols w:num="1" w:sep="0" w:space="708" w:equalWidth="1"/>
          <w:docGrid w:linePitch="360"/>
        </w:sectPr>
      </w:pPr>
      <w:r>
        <w:rPr>
          <w:b/>
          <w:sz w:val="32"/>
          <w:szCs w:val="32"/>
        </w:rPr>
        <w:br w:type="page" w:clear="all"/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jc w:val="center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 xml:space="preserve">4</w:t>
      </w:r>
      <w:r>
        <w:rPr>
          <w:b/>
          <w:sz w:val="32"/>
          <w:szCs w:val="32"/>
        </w:rPr>
        <w:t xml:space="preserve">.</w:t>
      </w:r>
      <w:r>
        <w:rPr>
          <w:b/>
          <w:sz w:val="32"/>
          <w:szCs w:val="32"/>
        </w:rPr>
        <w:t xml:space="preserve">2</w:t>
      </w:r>
      <w:r>
        <w:rPr>
          <w:b/>
          <w:sz w:val="32"/>
          <w:szCs w:val="32"/>
        </w:rPr>
        <w:t xml:space="preserve">. Второе стратегическое направление</w:t>
      </w:r>
      <w:r>
        <w:rPr>
          <w:b/>
          <w:i/>
          <w:sz w:val="32"/>
          <w:szCs w:val="32"/>
        </w:rPr>
        <w:t xml:space="preserve"> – «</w:t>
      </w:r>
      <w:r>
        <w:rPr>
          <w:b/>
          <w:i/>
          <w:sz w:val="32"/>
          <w:szCs w:val="32"/>
        </w:rPr>
        <w:t xml:space="preserve">Экономическое </w:t>
      </w:r>
      <w:r>
        <w:rPr>
          <w:b/>
          <w:i/>
          <w:sz w:val="32"/>
          <w:szCs w:val="32"/>
        </w:rPr>
        <w:t xml:space="preserve">инновационно</w:t>
      </w:r>
      <w:r>
        <w:rPr>
          <w:b/>
          <w:i/>
          <w:sz w:val="32"/>
          <w:szCs w:val="32"/>
        </w:rPr>
        <w:t xml:space="preserve">-ориентированное развитие Чернянского муниципального округа</w:t>
      </w:r>
      <w:r>
        <w:rPr>
          <w:b/>
          <w:i/>
          <w:sz w:val="32"/>
          <w:szCs w:val="32"/>
        </w:rPr>
        <w:t xml:space="preserve">»</w:t>
      </w:r>
      <w:r>
        <w:rPr>
          <w:b/>
          <w:i/>
          <w:sz w:val="32"/>
          <w:szCs w:val="32"/>
        </w:rPr>
      </w:r>
      <w:r>
        <w:rPr>
          <w:b/>
          <w:i/>
          <w:sz w:val="32"/>
          <w:szCs w:val="32"/>
        </w:rPr>
      </w: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4.2.1. Развитие промышленных производств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pStyle w:val="129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целью для развития промышленности муниципального округа на предстоящий период является увеличение объемов выпуска продукции промышленных производств, повышение конкурентоспособности предприятий  района.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firstLine="709"/>
        <w:jc w:val="both"/>
        <w:shd w:val="clear" w:color="auto" w:fill="ffffff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Для ее решения необходимо решение следующих задач: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условий для модернизации и дальнейшего развития промышленности округа;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hd w:val="clear" w:color="auto" w:fill="ffffff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 создание и развитие научно-производственных, промышленных парков и технопарков, обеспечивающих эффективное использование потенциала научных, проектных и исследовательских организаций; </w:t>
      </w:r>
      <w:r>
        <w:rPr>
          <w:spacing w:val="2"/>
          <w:sz w:val="28"/>
          <w:szCs w:val="28"/>
        </w:rPr>
      </w:r>
      <w:r>
        <w:rPr>
          <w:spacing w:val="2"/>
          <w:sz w:val="28"/>
          <w:szCs w:val="28"/>
        </w:rPr>
      </w:r>
    </w:p>
    <w:p>
      <w:pPr>
        <w:ind w:firstLine="709"/>
        <w:jc w:val="both"/>
        <w:shd w:val="clear" w:color="auto" w:fill="ffffff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-</w:t>
      </w:r>
      <w:r>
        <w:rPr>
          <w:spacing w:val="2"/>
          <w:sz w:val="28"/>
          <w:szCs w:val="28"/>
        </w:rPr>
        <w:tab/>
        <w:t xml:space="preserve"> обеспечение производство квалифицированными инженерно-техническими и рабочими кадрами, кадрами среднего звена (т</w:t>
      </w:r>
      <w:r>
        <w:rPr>
          <w:spacing w:val="2"/>
          <w:sz w:val="28"/>
          <w:szCs w:val="28"/>
        </w:rPr>
        <w:t xml:space="preserve">ехнологами, мастерами) путем взаимодействия предприятий с учебными заведениями, в том числе совместного формирования учебных программ и открытия востребованных специальностей, организация информационного взаимодействия рынков труда и образовательных услуг;</w:t>
      </w:r>
      <w:r>
        <w:rPr>
          <w:spacing w:val="2"/>
          <w:sz w:val="28"/>
          <w:szCs w:val="28"/>
        </w:rPr>
      </w:r>
      <w:r>
        <w:rPr>
          <w:spacing w:val="2"/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 обеспечение условий для создания новых и модернизации действующих производств за счет технического перевооружения, внедрения новейших технологий и оборудования;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line="230" w:lineRule="auto"/>
        <w:tabs>
          <w:tab w:val="left" w:pos="900" w:leader="none"/>
        </w:tabs>
        <w:rPr>
          <w:iCs/>
          <w:sz w:val="28"/>
          <w:szCs w:val="28"/>
        </w:rPr>
      </w:pPr>
      <w:r>
        <w:rPr>
          <w:iCs/>
          <w:sz w:val="28"/>
          <w:szCs w:val="28"/>
        </w:rPr>
        <w:tab/>
        <w:t xml:space="preserve">- повышения конкурентоспособности продукции, товаров и услуг местных  товаропроизводителей на основе развития высоких технологий и инноваций, модернизации существующих производств;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- вовлечение в хозяйственный оборот депрессивных площадок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widowControl w:val="off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Ожидаемые результаты к 2030 году: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>
        <w:rPr>
          <w:iCs/>
          <w:sz w:val="28"/>
          <w:szCs w:val="28"/>
        </w:rPr>
        <w:t xml:space="preserve">в ходе </w:t>
      </w:r>
      <w:r>
        <w:rPr>
          <w:sz w:val="28"/>
          <w:szCs w:val="28"/>
        </w:rPr>
        <w:t xml:space="preserve">реконструкции и модернизации ООО «РУСАГРО-БЕЛГОРОД» филиал «Чернянский» будет обновлено линия по производству сахара, что позволит увеличить объем производства продукции;</w:t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увеличение объема отгруженных товаров собственного производства, выполненных работ и услуг собственными силами до </w:t>
      </w:r>
      <w:r>
        <w:rPr>
          <w:sz w:val="28"/>
          <w:szCs w:val="28"/>
        </w:rPr>
        <w:t xml:space="preserve">12975,1 </w:t>
      </w:r>
      <w:r>
        <w:rPr>
          <w:sz w:val="28"/>
          <w:szCs w:val="28"/>
        </w:rPr>
        <w:t xml:space="preserve"> млн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рублей;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>
        <w:rPr>
          <w:sz w:val="28"/>
          <w:szCs w:val="28"/>
        </w:rPr>
        <w:t xml:space="preserve">увеличение </w:t>
      </w:r>
      <w:r>
        <w:rPr>
          <w:sz w:val="28"/>
          <w:szCs w:val="28"/>
        </w:rPr>
        <w:t xml:space="preserve">производства основных видов продукции.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center"/>
        <w:widowControl w:val="off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4.</w:t>
      </w:r>
      <w:r>
        <w:rPr>
          <w:b/>
          <w:i/>
          <w:sz w:val="28"/>
          <w:szCs w:val="28"/>
        </w:rPr>
        <w:t xml:space="preserve">2.</w:t>
      </w:r>
      <w:r>
        <w:rPr>
          <w:b/>
          <w:i/>
          <w:sz w:val="28"/>
          <w:szCs w:val="28"/>
        </w:rPr>
        <w:t xml:space="preserve">2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 xml:space="preserve">Развитие сельского хозяйства</w:t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</w:p>
    <w:p>
      <w:pPr>
        <w:pStyle w:val="1285"/>
        <w:ind w:firstLine="709"/>
        <w:jc w:val="center"/>
        <w:widowControl w:val="off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  <w:r>
        <w:rPr>
          <w:i/>
          <w:iCs/>
          <w:sz w:val="28"/>
          <w:szCs w:val="28"/>
        </w:rPr>
      </w:r>
    </w:p>
    <w:p>
      <w:pPr>
        <w:ind w:right="-143" w:firstLine="720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Уровень обеспечени</w:t>
      </w:r>
      <w:r>
        <w:rPr>
          <w:sz w:val="28"/>
          <w:szCs w:val="28"/>
        </w:rPr>
        <w:t xml:space="preserve">я населения продуктами собственного производства - основной показатель эффективности работы агропромышленного комплекса. Обеспеченность потребностей населения муниципального округа к 2030 году будет достигнута по всем видам сельскохозяйственной продукции.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В целях значительног</w:t>
      </w:r>
      <w:r>
        <w:rPr>
          <w:sz w:val="28"/>
          <w:szCs w:val="28"/>
        </w:rPr>
        <w:t xml:space="preserve">о повышения продуктивности сельскохозяйственных угодий и роста урожайности сельскохозяйственных культур в период до 2030 года необходимо существенное улучшение существующих угодий, восстановление почвенного плодородия и обеспечение прироста гумуса в почве.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целью развития агропромышленного комплекса муниципального образования явл</w:t>
      </w:r>
      <w:r>
        <w:rPr>
          <w:sz w:val="28"/>
          <w:szCs w:val="28"/>
        </w:rPr>
        <w:t xml:space="preserve">яется формирование самодостаточного агропромышленного комплекса, ориентированного на производство экологически чистой продукции, достижение уровня развития сельского хозяйства и пищевой и перерабатывающей промышленности, позволяющего оптимально использоват</w:t>
      </w:r>
      <w:r>
        <w:rPr>
          <w:sz w:val="28"/>
          <w:szCs w:val="28"/>
        </w:rPr>
        <w:t xml:space="preserve">ь имеющиеся природные ресурсы района, удовлетворять потребности населения в основных продовольственных товарах, соответствующих стандартам качества, поддерживать доходность агробизнеса, обеспечивать ежегодный прирост доходов занятых в сельхозпроизводстве.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целями развития АПК 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условий для повышения конкурентоспособности продукции агропромышленного комплекса и обеспечения населения района и области высококачественными продуктами питания;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создание условий для сохранения и воспроизводства природных ресурсов, используемых сельским хозяйством;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техническое перевооружение сельскохозяйственного производства.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их достижения необходимо выполнение следующих задач: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повышение инвестиционной привлекательности отрасли, развитие технического и технологического потенциала агропромышленного комплекса;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интенсификация сельскохозяйственного производства с использованием новейших и ресурсосберегающих технологий и вовлечение неиспользуемых земель сельскохозяйственного назначения в хозяйственный оборот.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Ожидаемый результат к 2030 году: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увеличить выпуск продукции сельского хозяйства во всех категориях хозяйств до 9580 млн. рублей;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увеличить количество семейных ферм на 1000 жилых частных домовладений до 60 ед.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6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4.</w:t>
      </w:r>
      <w:r>
        <w:rPr>
          <w:b/>
          <w:i/>
          <w:sz w:val="28"/>
          <w:szCs w:val="28"/>
        </w:rPr>
        <w:t xml:space="preserve">2.</w:t>
      </w:r>
      <w:r>
        <w:rPr>
          <w:b/>
          <w:i/>
          <w:sz w:val="28"/>
          <w:szCs w:val="28"/>
        </w:rPr>
        <w:t xml:space="preserve">3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 xml:space="preserve">Развитие строительства</w:t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</w:p>
    <w:p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iCs/>
          <w:sz w:val="28"/>
          <w:szCs w:val="28"/>
        </w:rPr>
        <w:t xml:space="preserve">Целью данной отрасли, является</w:t>
      </w:r>
      <w:r>
        <w:rPr>
          <w:sz w:val="28"/>
          <w:szCs w:val="28"/>
        </w:rPr>
        <w:t xml:space="preserve"> эффективное функционирование субъектов строительной отрасли, использование производственных мощностей, обеспечения занятости населения и достойного уровня жизни.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iCs/>
          <w:sz w:val="28"/>
          <w:szCs w:val="28"/>
        </w:rPr>
        <w:t xml:space="preserve">Основные задачи, связанные с реализацией цели: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привлекать инвестиции в развитие отрасли;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внедрять современные архитектурно-строительные системы индивидуального, малоэтажного домостроения;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обеспечить разработку и реализацию генеральных планов муниципальных образований.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Ожидаемый результат к 2030 году: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увеличить объем работ, выполненных по виду деятельности «Строительство» до 900 млн. рублей;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увеличить ввод в эксплуатацию жилых домов за счет всех источников финансирования до 13 тыс. кв.м.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center"/>
        <w:widowControl w:val="off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4.</w:t>
      </w:r>
      <w:r>
        <w:rPr>
          <w:b/>
          <w:i/>
          <w:sz w:val="28"/>
          <w:szCs w:val="28"/>
        </w:rPr>
        <w:t xml:space="preserve">2.</w:t>
      </w:r>
      <w:r>
        <w:rPr>
          <w:b/>
          <w:i/>
          <w:sz w:val="28"/>
          <w:szCs w:val="28"/>
        </w:rPr>
        <w:t xml:space="preserve">4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 xml:space="preserve">Развитие сферы услуг</w:t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современного подхода к организации деятельности органов местного самоуправления в округе ставит перед собой решение следующих задач: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снижение административных барьеров, оптимизация и повышение качества предоставления государственных и муниципальных услуг, в том числе на базе многофункциональных центров предоставления государственных и муниципальных услуг;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межмуниципального сотрудничества.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widowControl w:val="off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Ожидаемые результаты к 2030 году: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совершенствование деятельности органов местного самоуправления с учетом положительного опыта других муниципальных образований;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обеспечение доступа населения округа к государственным и муниципальным услугам в режиме онлайн в сети Интернет;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увеличение оборота розничной торговли до 6438,44млн. рублей;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увеличение туристского и экскурсионного потока до 51 тыс. человек.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4.2.5. Развитие малого и среднего предпринимательства</w:t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</w:p>
    <w:p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right="-1" w:firstLine="567"/>
        <w:jc w:val="both"/>
        <w:spacing w:line="100" w:lineRule="atLeast"/>
        <w:rPr>
          <w:sz w:val="28"/>
          <w:szCs w:val="28"/>
        </w:rPr>
      </w:pPr>
      <w:r>
        <w:rPr>
          <w:iCs/>
          <w:sz w:val="28"/>
          <w:szCs w:val="28"/>
        </w:rPr>
        <w:t xml:space="preserve">Стратегической целью развития малого и среднего предпринимательства</w:t>
      </w:r>
      <w:r>
        <w:rPr>
          <w:sz w:val="28"/>
          <w:szCs w:val="28"/>
        </w:rPr>
        <w:t xml:space="preserve"> является его преобразование в благоприятную среду его формирования.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Основные задачи, связанные с реализацией главной цели: 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о</w:t>
      </w:r>
      <w:r>
        <w:rPr>
          <w:sz w:val="28"/>
          <w:szCs w:val="28"/>
        </w:rPr>
        <w:t xml:space="preserve">казание финансовой, информационной, других видов поддержки субъектам малого и среднего предприниматель</w:t>
      </w:r>
      <w:r>
        <w:rPr>
          <w:sz w:val="28"/>
          <w:szCs w:val="28"/>
        </w:rPr>
        <w:t xml:space="preserve">ства;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п</w:t>
      </w:r>
      <w:r>
        <w:rPr>
          <w:sz w:val="28"/>
          <w:szCs w:val="28"/>
        </w:rPr>
        <w:t xml:space="preserve">родвижение продукции малых и средних предприятий района на регион</w:t>
      </w:r>
      <w:r>
        <w:rPr>
          <w:sz w:val="28"/>
          <w:szCs w:val="28"/>
        </w:rPr>
        <w:t xml:space="preserve">альный и межрегиональные рынки;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р</w:t>
      </w:r>
      <w:r>
        <w:rPr>
          <w:sz w:val="28"/>
          <w:szCs w:val="28"/>
        </w:rPr>
        <w:t xml:space="preserve">азвитие механизмов поддержки и стимулирования развит</w:t>
      </w:r>
      <w:r>
        <w:rPr>
          <w:sz w:val="28"/>
          <w:szCs w:val="28"/>
        </w:rPr>
        <w:t xml:space="preserve">ия предпринимательства в районе;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р</w:t>
      </w:r>
      <w:r>
        <w:rPr>
          <w:sz w:val="28"/>
          <w:szCs w:val="28"/>
        </w:rPr>
        <w:t xml:space="preserve">аспространение успешного опыта ведения бизнеса предпр</w:t>
      </w:r>
      <w:r>
        <w:rPr>
          <w:sz w:val="28"/>
          <w:szCs w:val="28"/>
        </w:rPr>
        <w:t xml:space="preserve">инимателями района;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с</w:t>
      </w:r>
      <w:r>
        <w:rPr>
          <w:sz w:val="28"/>
          <w:szCs w:val="28"/>
        </w:rPr>
        <w:t xml:space="preserve">одействие созданию благоприятных и стабильных условий </w:t>
      </w:r>
      <w:r>
        <w:rPr>
          <w:sz w:val="28"/>
          <w:szCs w:val="28"/>
        </w:rPr>
        <w:t xml:space="preserve">для функционирования</w:t>
      </w:r>
      <w:r>
        <w:rPr>
          <w:sz w:val="28"/>
          <w:szCs w:val="28"/>
        </w:rPr>
        <w:t xml:space="preserve"> экономической деятельности в целом, прежде всего в плане налогообложения;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р</w:t>
      </w:r>
      <w:r>
        <w:rPr>
          <w:sz w:val="28"/>
          <w:szCs w:val="28"/>
        </w:rPr>
        <w:t xml:space="preserve">азвитие инфраструктуры поддержки малого </w:t>
      </w:r>
      <w:r>
        <w:rPr>
          <w:sz w:val="28"/>
          <w:szCs w:val="28"/>
        </w:rPr>
        <w:t xml:space="preserve">и среднего предпринимательства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развитие муниципально</w:t>
      </w:r>
      <w:r>
        <w:rPr>
          <w:sz w:val="28"/>
          <w:szCs w:val="28"/>
        </w:rPr>
        <w:t xml:space="preserve">-ч</w:t>
      </w:r>
      <w:r>
        <w:rPr>
          <w:sz w:val="28"/>
          <w:szCs w:val="28"/>
        </w:rPr>
        <w:t xml:space="preserve">астного партнерства в муниципальном округе.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территории  округа зарегистрировано  15 территориальных образований,  объединяющих 57 сельских населенных пунктов.  Численность населения на 1 января 2025 года составила 28639 человека, в том числе сельского 14474 человека.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 территории округа  по состоянию на 1 января 2025 года зарегистрировано 989 организаций различных форм собственности и видов деятельности. Из них 892 индивидуальных предпринимателей: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both"/>
        <w:rPr>
          <w:sz w:val="28"/>
          <w:szCs w:val="28"/>
          <w:highlight w:val="none"/>
        </w:rPr>
      </w:pPr>
      <w:r>
        <w:rPr>
          <w:sz w:val="28"/>
          <w:szCs w:val="28"/>
        </w:rPr>
        <w:tab/>
        <w:t xml:space="preserve">Доля малого и среднего бизнеса  в общем объеме отгруженных товаров собственного производства, выполненных работ и услуг собственными силами составляет 45%</w:t>
      </w:r>
      <w:r>
        <w:rPr>
          <w:sz w:val="28"/>
          <w:szCs w:val="28"/>
        </w:rPr>
        <w:t xml:space="preserve">.</w:t>
      </w:r>
      <w:r>
        <w:rPr>
          <w:color w:val="00b050"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iCs/>
          <w:sz w:val="28"/>
          <w:szCs w:val="28"/>
        </w:rPr>
        <w:t xml:space="preserve">Ожидаемые результаты к 2030 году: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увеличение числа субъектов малого и среднего предпринимательства (ед. на 10 тыс. человек населения) до 340;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  <w14:ligatures w14:val="none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численность занятых в сфере малого и среднего предпринимательства, включая индивидуальных предпринимателей и самозанятых состави</w:t>
      </w:r>
      <w:r>
        <w:rPr>
          <w:sz w:val="28"/>
          <w:szCs w:val="28"/>
          <w:highlight w:val="white"/>
        </w:rPr>
        <w:t xml:space="preserve">т </w:t>
      </w:r>
      <w:r>
        <w:rPr>
          <w:sz w:val="28"/>
          <w:szCs w:val="28"/>
          <w:highlight w:val="white"/>
        </w:rPr>
        <w:t xml:space="preserve">2482 </w:t>
      </w:r>
      <w:r>
        <w:rPr>
          <w:sz w:val="28"/>
          <w:szCs w:val="28"/>
        </w:rPr>
        <w:t xml:space="preserve">чел.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both"/>
        <w:rPr>
          <w:color w:val="00b050"/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1285"/>
        <w:ind w:firstLine="709"/>
        <w:jc w:val="center"/>
        <w:widowControl w:val="off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</w:r>
      <w:r>
        <w:rPr>
          <w:b/>
          <w:bCs/>
          <w:i/>
          <w:sz w:val="28"/>
          <w:szCs w:val="28"/>
        </w:rPr>
      </w:r>
    </w:p>
    <w:p>
      <w:pPr>
        <w:pStyle w:val="1285"/>
        <w:ind w:firstLine="709"/>
        <w:jc w:val="center"/>
        <w:widowControl w:val="off"/>
        <w:rPr>
          <w:b/>
          <w:bCs/>
          <w:i/>
          <w:sz w:val="28"/>
          <w:szCs w:val="28"/>
        </w:rPr>
      </w:pPr>
      <w:r>
        <w:rPr>
          <w:b/>
          <w:i/>
          <w:sz w:val="28"/>
          <w:szCs w:val="28"/>
          <w:highlight w:val="none"/>
        </w:rPr>
      </w:r>
      <w:r>
        <w:rPr>
          <w:b/>
          <w:i/>
          <w:sz w:val="28"/>
          <w:szCs w:val="28"/>
          <w:highlight w:val="none"/>
        </w:rPr>
      </w:r>
    </w:p>
    <w:p>
      <w:pPr>
        <w:ind w:firstLine="720"/>
        <w:jc w:val="center"/>
        <w:widowControl w:val="o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4.2.6. Развитие науки и инноваций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20"/>
        <w:jc w:val="center"/>
        <w:widowControl w:val="off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29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Одной из характерных черт современного управления является инновационный тип управления, при котором в конечном продукте постоянно</w:t>
      </w:r>
      <w:r>
        <w:rPr>
          <w:rFonts w:ascii="Times New Roman" w:hAnsi="Times New Roman"/>
          <w:sz w:val="28"/>
          <w:szCs w:val="28"/>
          <w:lang w:eastAsia="ru-RU"/>
        </w:rPr>
        <w:t xml:space="preserve"> </w:t>
      </w:r>
      <w:r>
        <w:rPr>
          <w:rFonts w:ascii="Times New Roman" w:hAnsi="Times New Roman"/>
          <w:iCs/>
          <w:sz w:val="28"/>
          <w:szCs w:val="28"/>
          <w:lang w:eastAsia="ru-RU"/>
        </w:rPr>
        <w:t xml:space="preserve">увеличивается доля знаний как основного ресурса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. Именно такой тип управлен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ия сегодня является эффективным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. Он позволяет в процессе планирования, организации, мотивации и контроля максимально быстро, при минимальном количестве затрат, достигать максимальный экономический, управленческий и социальный эффект, обеспечивая постоянное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поступательное развитие муниципального образования и повышение уровня и качества жизни населения.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Основными задачами, связанными с реализацией данного направления являются: 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мероприятия по созданию эффективных механизмов обмена</w:t>
      </w:r>
      <w:r>
        <w:rPr>
          <w:sz w:val="28"/>
          <w:szCs w:val="28"/>
        </w:rPr>
        <w:t xml:space="preserve"> информацией с помощью государственной автоматизированной информационной системы «Управление»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</w:t>
      </w:r>
      <w:r>
        <w:rPr>
          <w:sz w:val="28"/>
          <w:szCs w:val="28"/>
        </w:rPr>
        <w:t xml:space="preserve">беспечение освоения современных информационных и управленческих технологий, в том числе технологий электронного документооборота, управления знаниями, а также осуществление механизмов государственной поддержки инноваций и закупок инновационной продукции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внедрение инновационных технологий предприятиями округа.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iCs/>
          <w:sz w:val="28"/>
          <w:szCs w:val="28"/>
        </w:rPr>
        <w:t xml:space="preserve">Ожидаемые результаты к 2030 году: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</w:t>
      </w:r>
      <w:r>
        <w:rPr>
          <w:sz w:val="28"/>
          <w:szCs w:val="28"/>
        </w:rPr>
        <w:t xml:space="preserve"> удельный вес </w:t>
      </w:r>
      <w:r>
        <w:rPr>
          <w:sz w:val="28"/>
          <w:szCs w:val="28"/>
        </w:rPr>
        <w:t xml:space="preserve">инновационно</w:t>
      </w:r>
      <w:r>
        <w:rPr>
          <w:sz w:val="28"/>
          <w:szCs w:val="28"/>
        </w:rPr>
        <w:t xml:space="preserve"> активных организаций в общем числе организаций будет составлять 0,31%.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b/>
          <w:sz w:val="28"/>
          <w:szCs w:val="28"/>
        </w:rPr>
        <w:sectPr>
          <w:footnotePr/>
          <w:endnotePr/>
          <w:type w:val="nextPage"/>
          <w:pgSz w:w="11906" w:h="16838" w:orient="portrait"/>
          <w:pgMar w:top="992" w:right="851" w:bottom="851" w:left="1559" w:header="397" w:footer="0" w:gutter="0"/>
          <w:cols w:num="1" w:sep="0" w:space="708" w:equalWidth="1"/>
          <w:docGrid w:linePitch="360"/>
        </w:sect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Индикаторы реализации второго стратегического направления</w:t>
      </w:r>
      <w:r>
        <w:rPr>
          <w:b/>
          <w:sz w:val="32"/>
          <w:szCs w:val="32"/>
          <w:u w:val="single"/>
        </w:rPr>
      </w:r>
      <w:r>
        <w:rPr>
          <w:b/>
          <w:sz w:val="32"/>
          <w:szCs w:val="32"/>
          <w:u w:val="single"/>
        </w:rPr>
      </w:r>
    </w:p>
    <w:p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«Экономическое </w:t>
      </w:r>
      <w:r>
        <w:rPr>
          <w:b/>
          <w:i/>
          <w:sz w:val="32"/>
          <w:szCs w:val="32"/>
          <w:u w:val="single"/>
        </w:rPr>
        <w:t xml:space="preserve">инновационно</w:t>
      </w:r>
      <w:r>
        <w:rPr>
          <w:b/>
          <w:i/>
          <w:sz w:val="32"/>
          <w:szCs w:val="32"/>
          <w:u w:val="single"/>
        </w:rPr>
        <w:t xml:space="preserve">-ориентированное развитие муниципального района</w:t>
      </w:r>
      <w:r>
        <w:rPr>
          <w:b/>
          <w:i/>
          <w:sz w:val="32"/>
          <w:szCs w:val="32"/>
          <w:u w:val="single"/>
        </w:rPr>
      </w:r>
      <w:r>
        <w:rPr>
          <w:b/>
          <w:i/>
          <w:sz w:val="32"/>
          <w:szCs w:val="32"/>
          <w:u w:val="single"/>
        </w:rPr>
      </w:r>
    </w:p>
    <w:p>
      <w:pPr>
        <w:jc w:val="center"/>
        <w:rPr>
          <w:b/>
          <w:bCs/>
          <w:i/>
          <w:sz w:val="32"/>
          <w:szCs w:val="32"/>
          <w:highlight w:val="none"/>
          <w:u w:val="single"/>
        </w:rPr>
      </w:pPr>
      <w:r>
        <w:rPr>
          <w:b/>
          <w:i/>
          <w:sz w:val="32"/>
          <w:szCs w:val="32"/>
          <w:u w:val="single"/>
        </w:rPr>
        <w:t xml:space="preserve"> «Чернянский район»</w:t>
      </w:r>
      <w:r>
        <w:rPr>
          <w:b/>
          <w:i/>
          <w:sz w:val="32"/>
          <w:szCs w:val="32"/>
          <w:u w:val="single"/>
        </w:rPr>
      </w:r>
      <w:r>
        <w:rPr>
          <w:b/>
          <w:bCs/>
          <w:i/>
          <w:sz w:val="32"/>
          <w:szCs w:val="32"/>
          <w:highlight w:val="none"/>
          <w:u w:val="single"/>
        </w:rPr>
      </w:r>
    </w:p>
    <w:p>
      <w:pPr>
        <w:jc w:val="center"/>
        <w:rPr>
          <w:b/>
          <w:bCs/>
          <w:i/>
          <w:sz w:val="32"/>
          <w:szCs w:val="32"/>
          <w:u w:val="single"/>
        </w:rPr>
      </w:pPr>
      <w:r>
        <w:rPr>
          <w:b/>
          <w:bCs/>
          <w:i/>
          <w:sz w:val="32"/>
          <w:szCs w:val="32"/>
          <w:u w:val="single"/>
        </w:rPr>
      </w:r>
      <w:r>
        <w:rPr>
          <w:b/>
          <w:bCs/>
          <w:i/>
          <w:sz w:val="32"/>
          <w:szCs w:val="32"/>
          <w:u w:val="single"/>
        </w:rPr>
      </w:r>
    </w:p>
    <w:tbl>
      <w:tblPr>
        <w:tblW w:w="5013" w:type="pct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140"/>
        <w:gridCol w:w="1514"/>
        <w:gridCol w:w="1818"/>
        <w:gridCol w:w="1563"/>
        <w:gridCol w:w="1765"/>
        <w:gridCol w:w="1883"/>
      </w:tblGrid>
      <w:tr>
        <w:tblPrEx/>
        <w:trPr>
          <w:cantSplit/>
          <w:jc w:val="center"/>
          <w:trHeight w:val="300"/>
          <w:tblHeader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№ п/п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614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Индикаторы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shd w:val="clear" w:color="ffffff" w:fill="ffffff"/>
            <w:tcW w:w="151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2011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отчет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818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2016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отчет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2020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отчет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2025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  <w:bCs/>
              </w:rPr>
              <w:t xml:space="preserve">отчет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2030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прогноз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jc w:val="center"/>
          <w:trHeight w:val="505"/>
        </w:trPr>
        <w:tc>
          <w:tcPr>
            <w:gridSpan w:val="7"/>
            <w:tcW w:w="15249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rPr>
                <w:b/>
              </w:rPr>
              <w:t xml:space="preserve">Развитие промышленных производств</w:t>
            </w:r>
            <w:r/>
            <w:r/>
          </w:p>
        </w:tc>
      </w:tr>
      <w:tr>
        <w:tblPrEx/>
        <w:trPr>
          <w:jc w:val="center"/>
          <w:trHeight w:val="761"/>
        </w:trPr>
        <w:tc>
          <w:tcPr>
            <w:tcW w:w="56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  <w:r/>
          </w:p>
        </w:tc>
        <w:tc>
          <w:tcPr>
            <w:tcW w:w="6140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Объем отгруженных товаров собственного производства, выполненных работ и услуг собственными силами (млн. рублей)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r>
              <w:t xml:space="preserve">      1760,8</w:t>
            </w:r>
            <w:r/>
            <w:r/>
          </w:p>
        </w:tc>
        <w:tc>
          <w:tcPr>
            <w:tcW w:w="1818" w:type="dxa"/>
            <w:textDirection w:val="lrTb"/>
            <w:noWrap w:val="false"/>
          </w:tcPr>
          <w:p>
            <w:pPr>
              <w:tabs>
                <w:tab w:val="left" w:pos="435" w:leader="none"/>
                <w:tab w:val="center" w:pos="814" w:leader="none"/>
              </w:tabs>
            </w:pPr>
            <w:r>
              <w:tab/>
            </w:r>
            <w:r/>
            <w:r/>
          </w:p>
          <w:p>
            <w:pPr>
              <w:tabs>
                <w:tab w:val="left" w:pos="435" w:leader="none"/>
                <w:tab w:val="center" w:pos="814" w:leader="none"/>
              </w:tabs>
            </w:pPr>
            <w:r>
              <w:tab/>
              <w:t xml:space="preserve">7364,8</w:t>
            </w:r>
            <w:r/>
            <w:r/>
          </w:p>
        </w:tc>
        <w:tc>
          <w:tcPr>
            <w:tcW w:w="1563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  <w:p>
            <w:pPr>
              <w:jc w:val="center"/>
            </w:pPr>
            <w:r>
              <w:t xml:space="preserve">8415,1</w:t>
            </w:r>
            <w:r/>
            <w:r/>
          </w:p>
        </w:tc>
        <w:tc>
          <w:tcPr>
            <w:tcW w:w="1765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  <w:p>
            <w:pPr>
              <w:jc w:val="center"/>
            </w:pPr>
            <w:r>
              <w:t xml:space="preserve">12822,10</w:t>
            </w:r>
            <w:r/>
            <w:r/>
          </w:p>
        </w:tc>
        <w:tc>
          <w:tcPr>
            <w:tcW w:w="1883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  <w:p>
            <w:pPr>
              <w:jc w:val="center"/>
            </w:pPr>
            <w:r>
              <w:t xml:space="preserve">15174,17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в том числе: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1818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1563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1765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обрабатывающие производства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1669,7</w:t>
            </w:r>
            <w:r/>
            <w:r/>
          </w:p>
        </w:tc>
        <w:tc>
          <w:tcPr>
            <w:tcW w:w="1818" w:type="dxa"/>
            <w:textDirection w:val="lrTb"/>
            <w:noWrap w:val="false"/>
          </w:tcPr>
          <w:p>
            <w:pPr>
              <w:jc w:val="center"/>
            </w:pPr>
            <w:r>
              <w:t xml:space="preserve">7245,1</w:t>
            </w:r>
            <w:r/>
            <w:r/>
          </w:p>
        </w:tc>
        <w:tc>
          <w:tcPr>
            <w:tcW w:w="1563" w:type="dxa"/>
            <w:textDirection w:val="lrTb"/>
            <w:noWrap w:val="false"/>
          </w:tcPr>
          <w:p>
            <w:pPr>
              <w:jc w:val="center"/>
            </w:pPr>
            <w:r>
              <w:t xml:space="preserve">8266,4</w:t>
            </w:r>
            <w:r/>
            <w:r/>
          </w:p>
        </w:tc>
        <w:tc>
          <w:tcPr>
            <w:tcW w:w="1765" w:type="dxa"/>
            <w:textDirection w:val="lrTb"/>
            <w:noWrap w:val="false"/>
          </w:tcPr>
          <w:p>
            <w:pPr>
              <w:jc w:val="center"/>
            </w:pPr>
            <w:r>
              <w:t xml:space="preserve">12611,8</w:t>
            </w:r>
            <w:r/>
            <w:r/>
          </w:p>
        </w:tc>
        <w:tc>
          <w:tcPr>
            <w:tcW w:w="1883" w:type="dxa"/>
            <w:textDirection w:val="lrTb"/>
            <w:noWrap w:val="false"/>
          </w:tcPr>
          <w:p>
            <w:pPr>
              <w:jc w:val="center"/>
            </w:pPr>
            <w:r>
              <w:t xml:space="preserve">14959,17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обеспечение электрической энергией, газом и паром; кондиционирование воздуха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  <w:p>
            <w:pPr>
              <w:jc w:val="center"/>
            </w:pPr>
            <w:r>
              <w:t xml:space="preserve">66,4</w:t>
            </w:r>
            <w:r/>
            <w:r/>
          </w:p>
        </w:tc>
        <w:tc>
          <w:tcPr>
            <w:tcW w:w="1818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  <w:p>
            <w:pPr>
              <w:jc w:val="center"/>
            </w:pPr>
            <w:r>
              <w:t xml:space="preserve">86,2</w:t>
            </w:r>
            <w:r/>
            <w:r/>
          </w:p>
        </w:tc>
        <w:tc>
          <w:tcPr>
            <w:tcW w:w="1563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  <w:p>
            <w:pPr>
              <w:jc w:val="center"/>
            </w:pPr>
            <w:r>
              <w:t xml:space="preserve">107,8</w:t>
            </w:r>
            <w:r/>
            <w:r/>
          </w:p>
        </w:tc>
        <w:tc>
          <w:tcPr>
            <w:tcW w:w="1765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  <w:p>
            <w:pPr>
              <w:jc w:val="center"/>
            </w:pPr>
            <w:r>
              <w:t xml:space="preserve">106,3</w:t>
            </w:r>
            <w:r/>
            <w:r/>
          </w:p>
        </w:tc>
        <w:tc>
          <w:tcPr>
            <w:tcW w:w="1883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  <w:p>
            <w:pPr>
              <w:jc w:val="center"/>
            </w:pPr>
            <w:r>
              <w:t xml:space="preserve">109,0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водоснабжение; водоотведение, организация сбора и утилизации отходов, деятельность по ликвидации загрязнений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28,8</w:t>
            </w:r>
            <w:r/>
            <w:r/>
          </w:p>
        </w:tc>
        <w:tc>
          <w:tcPr>
            <w:tcW w:w="1818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  <w:p>
            <w:pPr>
              <w:jc w:val="center"/>
            </w:pPr>
            <w:r>
              <w:t xml:space="preserve">33,5</w:t>
            </w:r>
            <w:r/>
            <w:r/>
          </w:p>
        </w:tc>
        <w:tc>
          <w:tcPr>
            <w:tcW w:w="1563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  <w:p>
            <w:pPr>
              <w:jc w:val="center"/>
            </w:pPr>
            <w:r>
              <w:t xml:space="preserve">40,9</w:t>
            </w:r>
            <w:r/>
            <w:r/>
          </w:p>
        </w:tc>
        <w:tc>
          <w:tcPr>
            <w:tcW w:w="1765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  <w:p>
            <w:pPr>
              <w:jc w:val="center"/>
            </w:pPr>
            <w:r>
              <w:t xml:space="preserve">104</w:t>
            </w:r>
            <w:r/>
            <w:r/>
          </w:p>
        </w:tc>
        <w:tc>
          <w:tcPr>
            <w:tcW w:w="1883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  <w:p>
            <w:pPr>
              <w:jc w:val="center"/>
            </w:pPr>
            <w:r>
              <w:t xml:space="preserve">106,6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Производство основных видов продукции в натуральном выражении:</w:t>
            </w:r>
            <w:r/>
            <w:r/>
          </w:p>
        </w:tc>
        <w:tc>
          <w:tcPr>
            <w:tcW w:w="1514" w:type="dxa"/>
            <w:textDirection w:val="lrTb"/>
            <w:noWrap w:val="false"/>
          </w:tcPr>
          <w:p>
            <w:pPr>
              <w:jc w:val="center"/>
            </w:pPr>
            <w:r>
              <w:t xml:space="preserve">95663</w:t>
            </w:r>
            <w:r/>
            <w:r/>
          </w:p>
        </w:tc>
        <w:tc>
          <w:tcPr>
            <w:tcW w:w="1818" w:type="dxa"/>
            <w:textDirection w:val="lrTb"/>
            <w:noWrap w:val="false"/>
          </w:tcPr>
          <w:p>
            <w:pPr>
              <w:jc w:val="center"/>
            </w:pPr>
            <w:r>
              <w:t xml:space="preserve">15463</w:t>
            </w:r>
            <w:r/>
            <w:r/>
          </w:p>
        </w:tc>
        <w:tc>
          <w:tcPr>
            <w:tcW w:w="1563" w:type="dxa"/>
            <w:textDirection w:val="lrTb"/>
            <w:noWrap w:val="false"/>
          </w:tcPr>
          <w:p>
            <w:pPr>
              <w:jc w:val="center"/>
            </w:pPr>
            <w:r>
              <w:t xml:space="preserve">119560</w:t>
            </w:r>
            <w:r/>
            <w:r/>
          </w:p>
        </w:tc>
        <w:tc>
          <w:tcPr>
            <w:tcW w:w="1765" w:type="dxa"/>
            <w:textDirection w:val="lrTb"/>
            <w:noWrap w:val="false"/>
          </w:tcPr>
          <w:p>
            <w:pPr>
              <w:jc w:val="center"/>
            </w:pPr>
            <w:r>
              <w:t xml:space="preserve">77296,00</w:t>
            </w:r>
            <w:r/>
            <w:r/>
          </w:p>
        </w:tc>
        <w:tc>
          <w:tcPr>
            <w:tcW w:w="1883" w:type="dxa"/>
            <w:textDirection w:val="lrTb"/>
            <w:noWrap w:val="false"/>
          </w:tcPr>
          <w:p>
            <w:pPr>
              <w:jc w:val="center"/>
            </w:pPr>
            <w:r>
              <w:t xml:space="preserve">95030,00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сахар из свеклы, кг</w:t>
            </w:r>
            <w:r/>
            <w:r/>
          </w:p>
        </w:tc>
        <w:tc>
          <w:tcPr>
            <w:tcW w:w="1514" w:type="dxa"/>
            <w:textDirection w:val="lrTb"/>
            <w:noWrap w:val="false"/>
          </w:tcPr>
          <w:p>
            <w:pPr>
              <w:jc w:val="center"/>
            </w:pPr>
            <w:r>
              <w:t xml:space="preserve">86546</w:t>
            </w:r>
            <w:r/>
            <w:r/>
          </w:p>
        </w:tc>
        <w:tc>
          <w:tcPr>
            <w:tcW w:w="1818" w:type="dxa"/>
            <w:textDirection w:val="lrTb"/>
            <w:noWrap w:val="false"/>
          </w:tcPr>
          <w:p>
            <w:pPr>
              <w:jc w:val="center"/>
            </w:pPr>
            <w:r>
              <w:t xml:space="preserve">97634</w:t>
            </w:r>
            <w:r/>
            <w:r/>
          </w:p>
        </w:tc>
        <w:tc>
          <w:tcPr>
            <w:tcW w:w="1563" w:type="dxa"/>
            <w:textDirection w:val="lrTb"/>
            <w:noWrap w:val="false"/>
          </w:tcPr>
          <w:p>
            <w:pPr>
              <w:jc w:val="center"/>
            </w:pPr>
            <w:r>
              <w:t xml:space="preserve">99500</w:t>
            </w:r>
            <w:r/>
            <w:r/>
          </w:p>
        </w:tc>
        <w:tc>
          <w:tcPr>
            <w:tcW w:w="1765" w:type="dxa"/>
            <w:textDirection w:val="lrTb"/>
            <w:noWrap w:val="false"/>
          </w:tcPr>
          <w:p>
            <w:pPr>
              <w:jc w:val="center"/>
            </w:pPr>
            <w:r>
              <w:t xml:space="preserve">67800</w:t>
            </w:r>
            <w:r/>
            <w:r/>
          </w:p>
        </w:tc>
        <w:tc>
          <w:tcPr>
            <w:tcW w:w="1883" w:type="dxa"/>
            <w:textDirection w:val="lrTb"/>
            <w:noWrap w:val="false"/>
          </w:tcPr>
          <w:p>
            <w:pPr>
              <w:jc w:val="center"/>
            </w:pPr>
            <w:r>
              <w:t xml:space="preserve">80000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масло растительное, кг</w:t>
            </w:r>
            <w:r/>
            <w:r/>
          </w:p>
        </w:tc>
        <w:tc>
          <w:tcPr>
            <w:tcW w:w="1514" w:type="dxa"/>
            <w:textDirection w:val="lrTb"/>
            <w:noWrap w:val="false"/>
          </w:tcPr>
          <w:p>
            <w:pPr>
              <w:jc w:val="center"/>
            </w:pPr>
            <w:r>
              <w:t xml:space="preserve">7182</w:t>
            </w:r>
            <w:r/>
            <w:r/>
          </w:p>
        </w:tc>
        <w:tc>
          <w:tcPr>
            <w:tcW w:w="1818" w:type="dxa"/>
            <w:textDirection w:val="lrTb"/>
            <w:noWrap w:val="false"/>
          </w:tcPr>
          <w:p>
            <w:pPr>
              <w:jc w:val="center"/>
            </w:pPr>
            <w:r>
              <w:t xml:space="preserve">15033</w:t>
            </w:r>
            <w:r/>
            <w:r/>
          </w:p>
        </w:tc>
        <w:tc>
          <w:tcPr>
            <w:tcW w:w="1563" w:type="dxa"/>
            <w:textDirection w:val="lrTb"/>
            <w:noWrap w:val="false"/>
          </w:tcPr>
          <w:p>
            <w:pPr>
              <w:jc w:val="center"/>
            </w:pPr>
            <w:r>
              <w:t xml:space="preserve">16500</w:t>
            </w:r>
            <w:r/>
            <w:r/>
          </w:p>
        </w:tc>
        <w:tc>
          <w:tcPr>
            <w:tcW w:w="1765" w:type="dxa"/>
            <w:textDirection w:val="lrTb"/>
            <w:noWrap w:val="false"/>
          </w:tcPr>
          <w:p>
            <w:pPr>
              <w:jc w:val="center"/>
            </w:pPr>
            <w:r>
              <w:t xml:space="preserve">6500</w:t>
            </w:r>
            <w:r/>
            <w:r/>
          </w:p>
        </w:tc>
        <w:tc>
          <w:tcPr>
            <w:tcW w:w="1883" w:type="dxa"/>
            <w:textDirection w:val="lrTb"/>
            <w:noWrap w:val="false"/>
          </w:tcPr>
          <w:p>
            <w:pPr>
              <w:jc w:val="center"/>
            </w:pPr>
            <w:r>
              <w:t xml:space="preserve">10000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колбасные изделия, кг</w:t>
            </w:r>
            <w:r/>
            <w:r/>
          </w:p>
        </w:tc>
        <w:tc>
          <w:tcPr>
            <w:tcW w:w="1514" w:type="dxa"/>
            <w:textDirection w:val="lrTb"/>
            <w:noWrap w:val="false"/>
          </w:tcPr>
          <w:p>
            <w:pPr>
              <w:jc w:val="center"/>
            </w:pPr>
            <w:r>
              <w:t xml:space="preserve">944</w:t>
            </w:r>
            <w:r/>
            <w:r/>
          </w:p>
        </w:tc>
        <w:tc>
          <w:tcPr>
            <w:tcW w:w="1818" w:type="dxa"/>
            <w:textDirection w:val="lrTb"/>
            <w:noWrap w:val="false"/>
          </w:tcPr>
          <w:p>
            <w:pPr>
              <w:jc w:val="center"/>
            </w:pPr>
            <w:r>
              <w:t xml:space="preserve">650</w:t>
            </w:r>
            <w:r/>
            <w:r/>
          </w:p>
        </w:tc>
        <w:tc>
          <w:tcPr>
            <w:tcW w:w="1563" w:type="dxa"/>
            <w:textDirection w:val="lrTb"/>
            <w:noWrap w:val="false"/>
          </w:tcPr>
          <w:p>
            <w:pPr>
              <w:jc w:val="center"/>
            </w:pPr>
            <w:r>
              <w:t xml:space="preserve">880</w:t>
            </w:r>
            <w:r/>
            <w:r/>
          </w:p>
        </w:tc>
        <w:tc>
          <w:tcPr>
            <w:tcW w:w="1765" w:type="dxa"/>
            <w:textDirection w:val="lrTb"/>
            <w:noWrap w:val="false"/>
          </w:tcPr>
          <w:p>
            <w:pPr>
              <w:jc w:val="center"/>
            </w:pPr>
            <w:r>
              <w:t xml:space="preserve">900</w:t>
            </w:r>
            <w:r/>
            <w:r/>
          </w:p>
        </w:tc>
        <w:tc>
          <w:tcPr>
            <w:tcW w:w="1883" w:type="dxa"/>
            <w:textDirection w:val="lrTb"/>
            <w:noWrap w:val="false"/>
          </w:tcPr>
          <w:p>
            <w:pPr>
              <w:jc w:val="center"/>
            </w:pPr>
            <w:r>
              <w:t xml:space="preserve">920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мясо, кг</w:t>
            </w:r>
            <w:r/>
            <w:r/>
          </w:p>
        </w:tc>
        <w:tc>
          <w:tcPr>
            <w:tcW w:w="1514" w:type="dxa"/>
            <w:textDirection w:val="lrTb"/>
            <w:noWrap w:val="false"/>
          </w:tcPr>
          <w:p>
            <w:pPr>
              <w:jc w:val="center"/>
            </w:pPr>
            <w:r>
              <w:t xml:space="preserve">537</w:t>
            </w:r>
            <w:r/>
            <w:r/>
          </w:p>
        </w:tc>
        <w:tc>
          <w:tcPr>
            <w:tcW w:w="1818" w:type="dxa"/>
            <w:textDirection w:val="lrTb"/>
            <w:noWrap w:val="false"/>
          </w:tcPr>
          <w:p>
            <w:pPr>
              <w:jc w:val="center"/>
            </w:pPr>
            <w:r>
              <w:t xml:space="preserve">263</w:t>
            </w:r>
            <w:r/>
            <w:r/>
          </w:p>
        </w:tc>
        <w:tc>
          <w:tcPr>
            <w:tcW w:w="1563" w:type="dxa"/>
            <w:textDirection w:val="lrTb"/>
            <w:noWrap w:val="false"/>
          </w:tcPr>
          <w:p>
            <w:pPr>
              <w:jc w:val="center"/>
            </w:pPr>
            <w:r>
              <w:t xml:space="preserve">580</w:t>
            </w:r>
            <w:r/>
            <w:r/>
          </w:p>
        </w:tc>
        <w:tc>
          <w:tcPr>
            <w:tcW w:w="1765" w:type="dxa"/>
            <w:textDirection w:val="lrTb"/>
            <w:noWrap w:val="false"/>
          </w:tcPr>
          <w:p>
            <w:pPr>
              <w:jc w:val="center"/>
            </w:pPr>
            <w:r>
              <w:t xml:space="preserve">650</w:t>
            </w:r>
            <w:r/>
            <w:r/>
          </w:p>
        </w:tc>
        <w:tc>
          <w:tcPr>
            <w:tcW w:w="1883" w:type="dxa"/>
            <w:textDirection w:val="lrTb"/>
            <w:noWrap w:val="false"/>
          </w:tcPr>
          <w:p>
            <w:pPr>
              <w:jc w:val="center"/>
            </w:pPr>
            <w:r>
              <w:t xml:space="preserve">730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картофель фри, кг</w:t>
            </w:r>
            <w:r/>
            <w:r/>
          </w:p>
        </w:tc>
        <w:tc>
          <w:tcPr>
            <w:tcW w:w="1514" w:type="dxa"/>
            <w:textDirection w:val="lrTb"/>
            <w:noWrap w:val="false"/>
          </w:tcPr>
          <w:p>
            <w:pPr>
              <w:jc w:val="center"/>
            </w:pPr>
            <w:r>
              <w:t xml:space="preserve">454</w:t>
            </w:r>
            <w:r/>
            <w:r/>
          </w:p>
        </w:tc>
        <w:tc>
          <w:tcPr>
            <w:tcW w:w="1818" w:type="dxa"/>
            <w:textDirection w:val="lrTb"/>
            <w:noWrap w:val="false"/>
          </w:tcPr>
          <w:p>
            <w:pPr>
              <w:jc w:val="center"/>
            </w:pPr>
            <w:r>
              <w:t xml:space="preserve">1883</w:t>
            </w:r>
            <w:r/>
            <w:r/>
          </w:p>
        </w:tc>
        <w:tc>
          <w:tcPr>
            <w:tcW w:w="1563" w:type="dxa"/>
            <w:textDirection w:val="lrTb"/>
            <w:noWrap w:val="false"/>
          </w:tcPr>
          <w:p>
            <w:pPr>
              <w:jc w:val="center"/>
            </w:pPr>
            <w:r>
              <w:t xml:space="preserve">2100</w:t>
            </w:r>
            <w:r/>
            <w:r/>
          </w:p>
        </w:tc>
        <w:tc>
          <w:tcPr>
            <w:tcW w:w="1765" w:type="dxa"/>
            <w:textDirection w:val="lrTb"/>
            <w:noWrap w:val="false"/>
          </w:tcPr>
          <w:p>
            <w:pPr>
              <w:jc w:val="center"/>
            </w:pPr>
            <w:r>
              <w:t xml:space="preserve">1346</w:t>
            </w:r>
            <w:r/>
            <w:r/>
          </w:p>
        </w:tc>
        <w:tc>
          <w:tcPr>
            <w:tcW w:w="1883" w:type="dxa"/>
            <w:textDirection w:val="lrTb"/>
            <w:noWrap w:val="false"/>
          </w:tcPr>
          <w:p>
            <w:pPr>
              <w:jc w:val="center"/>
            </w:pPr>
            <w:r>
              <w:t xml:space="preserve">2000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pStyle w:val="1285"/>
              <w:jc w:val="center"/>
            </w:pPr>
            <w:r>
              <w:t xml:space="preserve">3</w:t>
            </w:r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Выпуск продукции сельского хозяйства во всех категориях хозяйств (млн. рублей)</w:t>
            </w:r>
            <w:r/>
            <w:r/>
          </w:p>
        </w:tc>
        <w:tc>
          <w:tcPr>
            <w:tcW w:w="1514" w:type="dxa"/>
            <w:textDirection w:val="lrTb"/>
            <w:noWrap w:val="false"/>
          </w:tcPr>
          <w:p>
            <w:pPr>
              <w:jc w:val="center"/>
            </w:pPr>
            <w:r>
              <w:t xml:space="preserve">3737</w:t>
            </w:r>
            <w:r/>
            <w:r/>
          </w:p>
        </w:tc>
        <w:tc>
          <w:tcPr>
            <w:tcW w:w="1818" w:type="dxa"/>
            <w:textDirection w:val="lrTb"/>
            <w:noWrap w:val="false"/>
          </w:tcPr>
          <w:p>
            <w:pPr>
              <w:jc w:val="center"/>
            </w:pPr>
            <w:r>
              <w:t xml:space="preserve">5544,9</w:t>
            </w:r>
            <w:r/>
            <w:r/>
          </w:p>
        </w:tc>
        <w:tc>
          <w:tcPr>
            <w:tcW w:w="1563" w:type="dxa"/>
            <w:textDirection w:val="lrTb"/>
            <w:noWrap w:val="false"/>
          </w:tcPr>
          <w:p>
            <w:pPr>
              <w:jc w:val="center"/>
            </w:pPr>
            <w:r>
              <w:t xml:space="preserve">6801</w:t>
            </w:r>
            <w:r/>
            <w:r/>
          </w:p>
        </w:tc>
        <w:tc>
          <w:tcPr>
            <w:tcW w:w="1765" w:type="dxa"/>
            <w:textDirection w:val="lrTb"/>
            <w:noWrap w:val="false"/>
          </w:tcPr>
          <w:p>
            <w:pPr>
              <w:jc w:val="center"/>
            </w:pPr>
            <w:r>
              <w:t xml:space="preserve">12475</w:t>
            </w:r>
            <w:r/>
            <w:r/>
          </w:p>
        </w:tc>
        <w:tc>
          <w:tcPr>
            <w:tcW w:w="1883" w:type="dxa"/>
            <w:textDirection w:val="lrTb"/>
            <w:noWrap w:val="false"/>
          </w:tcPr>
          <w:p>
            <w:pPr>
              <w:jc w:val="center"/>
            </w:pPr>
            <w:r>
              <w:t xml:space="preserve">14851,83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pStyle w:val="1285"/>
              <w:jc w:val="center"/>
            </w:pPr>
            <w:r/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в том числе:</w:t>
            </w:r>
            <w:r/>
            <w:r/>
          </w:p>
        </w:tc>
        <w:tc>
          <w:tcPr>
            <w:tcW w:w="1514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1818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1563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1765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1883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pStyle w:val="1285"/>
              <w:jc w:val="center"/>
            </w:pPr>
            <w:r/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растениеводство </w:t>
            </w:r>
            <w:r/>
            <w:r/>
          </w:p>
        </w:tc>
        <w:tc>
          <w:tcPr>
            <w:tcW w:w="1514" w:type="dxa"/>
            <w:textDirection w:val="lrTb"/>
            <w:noWrap w:val="false"/>
          </w:tcPr>
          <w:p>
            <w:pPr>
              <w:jc w:val="center"/>
            </w:pPr>
            <w:r>
              <w:t xml:space="preserve">2285,9</w:t>
            </w:r>
            <w:r/>
            <w:r/>
          </w:p>
        </w:tc>
        <w:tc>
          <w:tcPr>
            <w:tcW w:w="1818" w:type="dxa"/>
            <w:textDirection w:val="lrTb"/>
            <w:noWrap w:val="false"/>
          </w:tcPr>
          <w:p>
            <w:pPr>
              <w:jc w:val="center"/>
            </w:pPr>
            <w:r>
              <w:t xml:space="preserve">4050</w:t>
            </w:r>
            <w:r/>
            <w:r/>
          </w:p>
        </w:tc>
        <w:tc>
          <w:tcPr>
            <w:tcW w:w="1563" w:type="dxa"/>
            <w:textDirection w:val="lrTb"/>
            <w:noWrap w:val="false"/>
          </w:tcPr>
          <w:p>
            <w:pPr>
              <w:jc w:val="center"/>
            </w:pPr>
            <w:r>
              <w:t xml:space="preserve">4967</w:t>
            </w:r>
            <w:r/>
            <w:r/>
          </w:p>
        </w:tc>
        <w:tc>
          <w:tcPr>
            <w:tcW w:w="1765" w:type="dxa"/>
            <w:textDirection w:val="lrTb"/>
            <w:noWrap w:val="false"/>
          </w:tcPr>
          <w:p>
            <w:pPr>
              <w:jc w:val="center"/>
            </w:pPr>
            <w:r>
              <w:t xml:space="preserve">8807,8</w:t>
            </w:r>
            <w:r/>
            <w:r/>
          </w:p>
        </w:tc>
        <w:tc>
          <w:tcPr>
            <w:tcW w:w="1883" w:type="dxa"/>
            <w:textDirection w:val="lrTb"/>
            <w:noWrap w:val="false"/>
          </w:tcPr>
          <w:p>
            <w:pPr>
              <w:jc w:val="center"/>
            </w:pPr>
            <w:r>
              <w:t xml:space="preserve">10497,81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pStyle w:val="1285"/>
              <w:jc w:val="center"/>
            </w:pPr>
            <w:r/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Животноводство</w:t>
            </w:r>
            <w:r/>
            <w:r/>
          </w:p>
        </w:tc>
        <w:tc>
          <w:tcPr>
            <w:tcW w:w="1514" w:type="dxa"/>
            <w:textDirection w:val="lrTb"/>
            <w:noWrap w:val="false"/>
          </w:tcPr>
          <w:p>
            <w:pPr>
              <w:jc w:val="center"/>
            </w:pPr>
            <w:r>
              <w:t xml:space="preserve">1151,1</w:t>
            </w:r>
            <w:r/>
            <w:r/>
          </w:p>
        </w:tc>
        <w:tc>
          <w:tcPr>
            <w:tcW w:w="1818" w:type="dxa"/>
            <w:textDirection w:val="lrTb"/>
            <w:noWrap w:val="false"/>
          </w:tcPr>
          <w:p>
            <w:pPr>
              <w:jc w:val="center"/>
            </w:pPr>
            <w:r>
              <w:t xml:space="preserve">1494,9</w:t>
            </w:r>
            <w:r/>
            <w:r/>
          </w:p>
        </w:tc>
        <w:tc>
          <w:tcPr>
            <w:tcW w:w="1563" w:type="dxa"/>
            <w:textDirection w:val="lrTb"/>
            <w:noWrap w:val="false"/>
          </w:tcPr>
          <w:p>
            <w:pPr>
              <w:jc w:val="center"/>
            </w:pPr>
            <w:r>
              <w:t xml:space="preserve">1834</w:t>
            </w:r>
            <w:r/>
            <w:r/>
          </w:p>
        </w:tc>
        <w:tc>
          <w:tcPr>
            <w:tcW w:w="1765" w:type="dxa"/>
            <w:textDirection w:val="lrTb"/>
            <w:noWrap w:val="false"/>
          </w:tcPr>
          <w:p>
            <w:pPr>
              <w:jc w:val="center"/>
            </w:pPr>
            <w:r>
              <w:t xml:space="preserve">3667,2</w:t>
            </w:r>
            <w:r/>
            <w:r/>
          </w:p>
        </w:tc>
        <w:tc>
          <w:tcPr>
            <w:tcW w:w="1883" w:type="dxa"/>
            <w:textDirection w:val="lrTb"/>
            <w:noWrap w:val="false"/>
          </w:tcPr>
          <w:p>
            <w:pPr>
              <w:jc w:val="center"/>
            </w:pPr>
            <w:r>
              <w:t xml:space="preserve">4354,02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pStyle w:val="1285"/>
              <w:jc w:val="center"/>
            </w:pPr>
            <w:r>
              <w:t xml:space="preserve">4</w:t>
            </w:r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Производство основных видов сельхозпродукции во всех категориях хозяйств в натуральном выражении: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108,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pStyle w:val="1285"/>
              <w:jc w:val="center"/>
            </w:pPr>
            <w:r/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зерно (в весе после доработки) (тыс. тонн)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107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101</w:t>
            </w:r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130,5</w:t>
            </w:r>
            <w:r/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142,3</w:t>
            </w:r>
            <w:r/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146,0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pStyle w:val="1285"/>
              <w:jc w:val="center"/>
            </w:pPr>
            <w:r/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сахарная свекла (тыс. тонн)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295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204,9</w:t>
            </w:r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214,7</w:t>
            </w:r>
            <w:r/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175,5</w:t>
            </w:r>
            <w:r/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219,7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pStyle w:val="1285"/>
              <w:jc w:val="center"/>
            </w:pPr>
            <w:r/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молоко (тыс. тонн)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52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57,2</w:t>
            </w:r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59,5</w:t>
            </w:r>
            <w:r/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60,9</w:t>
            </w:r>
            <w:r/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71,0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Доля пахотных земель, переведенных на новую систему обработки почвы (%)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3,2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7,7</w:t>
            </w:r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</w:t>
            </w:r>
            <w:r/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11,5</w:t>
            </w:r>
            <w:r/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16,4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>
              <w:t xml:space="preserve">7</w:t>
            </w:r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Объем работ, выполненных по виду деятельности «Строительство» (млн. рублей)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390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610</w:t>
            </w:r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646</w:t>
            </w:r>
            <w:r/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841,3</w:t>
            </w:r>
            <w:r/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900,0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>
              <w:t xml:space="preserve">8</w:t>
            </w:r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Ввод в эксплуатацию жилых домов за счет всех источников финансирования (тыс. кв.м)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17,75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18,51</w:t>
            </w:r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18,79</w:t>
            </w:r>
            <w:r/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20,17</w:t>
            </w:r>
            <w:r/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в том числе населением за счет собственных и заемных средств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17,75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18,51</w:t>
            </w:r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18,79</w:t>
            </w:r>
            <w:r/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20,17</w:t>
            </w:r>
            <w:r/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>
              <w:t xml:space="preserve">9</w:t>
            </w:r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Оборот розничной торговли (млн. рублей)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1169,3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1405,7</w:t>
            </w:r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1548,1</w:t>
            </w:r>
            <w:r/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2030</w:t>
            </w:r>
            <w:r/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2329,8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>
              <w:t xml:space="preserve">10</w:t>
            </w:r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Оборот общественного питания (млн. рублей)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34,8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42,3</w:t>
            </w:r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43,7</w:t>
            </w:r>
            <w:r/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39,6</w:t>
            </w:r>
            <w:r/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31,5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>
              <w:t xml:space="preserve">11</w:t>
            </w:r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Платные услуги населению (млн. рублей)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98,7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121</w:t>
            </w:r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138</w:t>
            </w:r>
            <w:r/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159,8</w:t>
            </w:r>
            <w:r/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160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>
              <w:t xml:space="preserve">12</w:t>
            </w:r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Объем туристских услуг (млн. рублей)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20,7</w:t>
            </w:r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  <w:rPr>
                <w:highlight w:val="red"/>
              </w:rPr>
            </w:pPr>
            <w:r>
              <w:rPr>
                <w:highlight w:val="none"/>
              </w:rPr>
              <w:t xml:space="preserve">47,9</w:t>
            </w:r>
            <w:r>
              <w:rPr>
                <w:highlight w:val="red"/>
              </w:rPr>
            </w:r>
            <w:r>
              <w:rPr>
                <w:highlight w:val="red"/>
              </w:rPr>
            </w:r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52,7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>
              <w:t xml:space="preserve">13</w:t>
            </w:r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Туристский и экскурсионный поток (тыс. человек)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28,5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32,4</w:t>
            </w:r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44,5</w:t>
            </w:r>
            <w:r/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108,4</w:t>
            </w:r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115,0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>
              <w:t xml:space="preserve">14</w:t>
            </w:r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Число субъектов малого и среднего предпринимательства (ед. на 10 тыс. человек населения)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321,2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325,4</w:t>
            </w:r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325,4</w:t>
            </w:r>
            <w:r/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334</w:t>
            </w:r>
            <w:r/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340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>
              <w:t xml:space="preserve">15</w:t>
            </w:r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>
              <w:t xml:space="preserve">Сумма налоговых платежей в расчете на 1 работающего, уплачиваемая юридическими лицами и индивидуальными предпринимателями, применяющими специальные режимы налогообложения (%)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27,5</w:t>
            </w:r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28,13</w:t>
            </w:r>
            <w:r/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30,02</w:t>
            </w:r>
            <w:r/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36,05</w:t>
            </w:r>
            <w:r/>
            <w:r/>
          </w:p>
        </w:tc>
      </w:tr>
      <w:tr>
        <w:tblPrEx/>
        <w:trPr>
          <w:jc w:val="center"/>
          <w:trHeight w:val="528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>
              <w:t xml:space="preserve">17.1</w:t>
            </w:r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jc w:val="both"/>
            </w:pPr>
            <w:r/>
            <w:bookmarkStart w:id="0" w:name="undefined"/>
            <w:r>
              <w:t xml:space="preserve">Количество проектов муниципального частного партнерства (ед.)</w:t>
            </w:r>
            <w:bookmarkEnd w:id="0"/>
            <w:r/>
            <w:r/>
          </w:p>
        </w:tc>
        <w:tc>
          <w:tcPr>
            <w:tcW w:w="1514" w:type="dxa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  <w:r/>
          </w:p>
        </w:tc>
        <w:tc>
          <w:tcPr>
            <w:tcW w:w="1818" w:type="dxa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  <w:r/>
          </w:p>
        </w:tc>
        <w:tc>
          <w:tcPr>
            <w:tcW w:w="1563" w:type="dxa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  <w:r/>
          </w:p>
        </w:tc>
        <w:tc>
          <w:tcPr>
            <w:tcW w:w="1765" w:type="dxa"/>
            <w:textDirection w:val="lrTb"/>
            <w:noWrap w:val="false"/>
          </w:tcPr>
          <w:p>
            <w:pPr>
              <w:jc w:val="center"/>
            </w:pPr>
            <w:r>
              <w:t xml:space="preserve">9</w:t>
            </w:r>
            <w:r/>
            <w:r/>
          </w:p>
        </w:tc>
        <w:tc>
          <w:tcPr>
            <w:tcW w:w="1883" w:type="dxa"/>
            <w:textDirection w:val="lrTb"/>
            <w:noWrap w:val="false"/>
          </w:tcPr>
          <w:p>
            <w:pPr>
              <w:jc w:val="center"/>
            </w:pPr>
            <w:r>
              <w:t xml:space="preserve">12        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>
              <w:t xml:space="preserve">18</w:t>
            </w:r>
            <w:r/>
            <w:r/>
          </w:p>
        </w:tc>
        <w:tc>
          <w:tcPr>
            <w:tcW w:w="6140" w:type="dxa"/>
            <w:vAlign w:val="center"/>
            <w:textDirection w:val="lrTb"/>
            <w:noWrap w:val="false"/>
          </w:tcPr>
          <w:p>
            <w:pPr>
              <w:jc w:val="both"/>
            </w:pPr>
            <w:r>
              <w:t xml:space="preserve">Удельный вес инновационно активных организаций в общем числе организаций (%)</w:t>
            </w:r>
            <w:r/>
            <w:r/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0,27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0,29</w:t>
            </w:r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0,30</w:t>
            </w:r>
            <w:r/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0,31</w:t>
            </w:r>
            <w:r/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0,31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567" w:type="dxa"/>
            <w:textDirection w:val="lrTb"/>
            <w:noWrap w:val="false"/>
          </w:tcPr>
          <w:p>
            <w:pPr>
              <w:jc w:val="center"/>
            </w:pPr>
            <w:r>
              <w:t xml:space="preserve">19</w:t>
            </w:r>
            <w:r/>
            <w:r/>
          </w:p>
        </w:tc>
        <w:tc>
          <w:tcPr>
            <w:tcW w:w="6140" w:type="dxa"/>
            <w:textDirection w:val="lrTb"/>
            <w:noWrap w:val="false"/>
          </w:tcPr>
          <w:p>
            <w:pPr>
              <w:pStyle w:val="1028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Удельный вес инновационных товаров, работ, услуг в общем объеме отгруженных товаров, работ, услуг (%)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51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0,16</w:t>
            </w:r>
            <w:r/>
            <w:r/>
          </w:p>
        </w:tc>
        <w:tc>
          <w:tcPr>
            <w:tcW w:w="1818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0,09</w:t>
            </w:r>
            <w:r/>
            <w:r/>
          </w:p>
        </w:tc>
        <w:tc>
          <w:tcPr>
            <w:tcW w:w="156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0,35</w:t>
            </w:r>
            <w:r/>
            <w:r/>
          </w:p>
        </w:tc>
        <w:tc>
          <w:tcPr>
            <w:tcW w:w="1765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0,26</w:t>
            </w:r>
            <w:r/>
            <w:r/>
          </w:p>
        </w:tc>
        <w:tc>
          <w:tcPr>
            <w:tcW w:w="1883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0,27</w:t>
            </w:r>
            <w:r/>
            <w:r/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  <w:sectPr>
          <w:footnotePr/>
          <w:endnotePr/>
          <w:type w:val="nextPage"/>
          <w:pgSz w:w="16838" w:h="11906" w:orient="landscape"/>
          <w:pgMar w:top="1560" w:right="993" w:bottom="850" w:left="851" w:header="397" w:footer="0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 xml:space="preserve">4.3</w:t>
      </w:r>
      <w:r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Третье</w:t>
      </w:r>
      <w:r>
        <w:rPr>
          <w:b/>
          <w:sz w:val="32"/>
          <w:szCs w:val="32"/>
        </w:rPr>
        <w:t xml:space="preserve"> стратегическое направление</w:t>
      </w:r>
      <w:r>
        <w:rPr>
          <w:b/>
          <w:i/>
          <w:sz w:val="32"/>
          <w:szCs w:val="32"/>
        </w:rPr>
        <w:t xml:space="preserve"> – «</w:t>
      </w:r>
      <w:r>
        <w:rPr>
          <w:b/>
          <w:i/>
          <w:sz w:val="32"/>
          <w:szCs w:val="32"/>
        </w:rPr>
        <w:t xml:space="preserve">Повышение качества условий жизнедеятельности населения</w:t>
      </w:r>
      <w:r>
        <w:rPr>
          <w:b/>
          <w:i/>
          <w:sz w:val="32"/>
          <w:szCs w:val="32"/>
        </w:rPr>
        <w:t xml:space="preserve">»</w:t>
      </w:r>
      <w:r>
        <w:rPr>
          <w:b/>
          <w:i/>
          <w:sz w:val="32"/>
          <w:szCs w:val="32"/>
        </w:rPr>
      </w:r>
      <w:r>
        <w:rPr>
          <w:b/>
          <w:i/>
          <w:sz w:val="32"/>
          <w:szCs w:val="32"/>
        </w:rPr>
      </w:r>
    </w:p>
    <w:p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</w:r>
      <w:r>
        <w:rPr>
          <w:b/>
          <w:i/>
          <w:sz w:val="32"/>
          <w:szCs w:val="32"/>
        </w:rPr>
      </w:r>
      <w:r>
        <w:rPr>
          <w:b/>
          <w:i/>
          <w:sz w:val="32"/>
          <w:szCs w:val="32"/>
        </w:rPr>
      </w:r>
    </w:p>
    <w:p>
      <w:pPr>
        <w:jc w:val="center"/>
      </w:pPr>
      <w:r>
        <w:rPr>
          <w:b/>
          <w:sz w:val="28"/>
          <w:szCs w:val="28"/>
        </w:rPr>
        <w:t xml:space="preserve">4.3.1. Качество жилищных условий, комплексное благоустройство населенных пунктов</w:t>
      </w:r>
      <w:r/>
    </w:p>
    <w:p>
      <w:pPr>
        <w:jc w:val="center"/>
      </w:pPr>
      <w:r/>
      <w:r/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Основными целями в сфере жилищно-коммунального хозяйства и комплексного благоустройства  являются повышение эффективности работы предприятий ЖКХ, комфортности и безопасности условий проживания граждан.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iCs/>
          <w:sz w:val="28"/>
          <w:szCs w:val="28"/>
        </w:rPr>
        <w:t xml:space="preserve">Основные задачи, связанные с реализацией главной цели: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обеспечение надлежащего технического состояния жилищного фонда;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содействие модернизации применения инновационных энергосберегающих технологий в процессе эксплуатации объектов ЖКХ;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укрепление материально–технической базы, создание новых объектов инфраструктуры ЖКХ;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сохранение и приумножение благополучной экологической ситуации в округе.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Ожидаемые результаты к 2030</w:t>
      </w:r>
      <w:r>
        <w:rPr>
          <w:sz w:val="28"/>
          <w:szCs w:val="28"/>
        </w:rPr>
        <w:t xml:space="preserve"> году:</w:t>
      </w:r>
      <w:r>
        <w:rPr>
          <w:sz w:val="28"/>
          <w:szCs w:val="28"/>
        </w:rPr>
      </w:r>
      <w:r/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увеличение общей площади жилых помещений, приходящаяся в среднем на одного жителя до 38,8 кв.м.;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увеличение доли протяженности автомобильных дорог общего пользования с твердым покрытием в общей протяженности автодорог общего пользования до 97%;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повышение уровня благоустройства жилищного фонда.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center"/>
        <w:widowControl w:val="o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4.3.2. Экология и рациональное природопользование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285"/>
        <w:ind w:firstLine="709"/>
        <w:jc w:val="center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Главными </w:t>
      </w:r>
      <w:r>
        <w:rPr>
          <w:sz w:val="28"/>
          <w:szCs w:val="28"/>
        </w:rPr>
        <w:t xml:space="preserve">задачами</w:t>
      </w:r>
      <w:r>
        <w:rPr>
          <w:sz w:val="28"/>
          <w:szCs w:val="28"/>
        </w:rPr>
        <w:t xml:space="preserve"> экологической политики являются: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поэтапное сокращение уровней воздействия на окружающую среду всех антропогенных источников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создание экологически безопасной и комфортной обстановки в местах прожива</w:t>
      </w:r>
      <w:r>
        <w:rPr>
          <w:sz w:val="28"/>
          <w:szCs w:val="28"/>
        </w:rPr>
        <w:t xml:space="preserve">ния, работы и отдыха населения;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сохранение и защита окружающей среды.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Главным механизмом</w:t>
      </w:r>
      <w:r>
        <w:rPr>
          <w:sz w:val="28"/>
          <w:szCs w:val="28"/>
        </w:rPr>
        <w:t xml:space="preserve"> для достижения </w:t>
      </w:r>
      <w:r>
        <w:rPr>
          <w:sz w:val="28"/>
          <w:szCs w:val="28"/>
        </w:rPr>
        <w:t xml:space="preserve">поставленных задач</w:t>
      </w:r>
      <w:r>
        <w:rPr>
          <w:sz w:val="28"/>
          <w:szCs w:val="28"/>
        </w:rPr>
        <w:t xml:space="preserve"> является</w:t>
      </w:r>
      <w:r>
        <w:rPr>
          <w:sz w:val="28"/>
          <w:szCs w:val="28"/>
        </w:rPr>
        <w:t xml:space="preserve">: внедрение наилучших природоохранных технологий, улучшение  экологических показателей, совершенствование системы управления отходами (</w:t>
      </w:r>
      <w:r>
        <w:rPr>
          <w:sz w:val="28"/>
          <w:szCs w:val="28"/>
        </w:rPr>
        <w:t xml:space="preserve">система раздельного сбора мусора</w:t>
      </w:r>
      <w:r>
        <w:rPr>
          <w:sz w:val="28"/>
          <w:szCs w:val="28"/>
        </w:rPr>
        <w:t xml:space="preserve">), планомерное снижение выбросов загрязняющих веществ в окружающею среду, сохранение водных, лесных и земельных ресурсов, привлечение граждан к сохранению природных богатств </w:t>
      </w:r>
      <w:r>
        <w:rPr>
          <w:sz w:val="28"/>
          <w:szCs w:val="28"/>
        </w:rPr>
        <w:t xml:space="preserve">Чернянского </w:t>
      </w:r>
      <w:r>
        <w:rPr>
          <w:sz w:val="28"/>
          <w:szCs w:val="28"/>
        </w:rPr>
        <w:t xml:space="preserve">района.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Ожидаемые результаты к 2030 году: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снижение удельной величины потребления горячей воды в многоквартирных домах до 1,9 м</w:t>
      </w:r>
      <w:r>
        <w:rPr>
          <w:sz w:val="28"/>
          <w:szCs w:val="28"/>
          <w:vertAlign w:val="superscript"/>
        </w:rPr>
        <w:t xml:space="preserve">3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4.3.3. Укрепление правопорядка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both"/>
        <w:shd w:val="clear" w:color="auto" w:fill="ffffff"/>
        <w:widowControl w:val="o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Основными </w:t>
      </w:r>
      <w:r>
        <w:rPr>
          <w:color w:val="000000"/>
          <w:sz w:val="28"/>
          <w:szCs w:val="28"/>
        </w:rPr>
        <w:t xml:space="preserve">задачами в</w:t>
      </w:r>
      <w:r>
        <w:rPr>
          <w:color w:val="000000"/>
          <w:sz w:val="28"/>
          <w:szCs w:val="28"/>
        </w:rPr>
        <w:t xml:space="preserve"> работ</w:t>
      </w:r>
      <w:r>
        <w:rPr>
          <w:color w:val="000000"/>
          <w:sz w:val="28"/>
          <w:szCs w:val="28"/>
        </w:rPr>
        <w:t xml:space="preserve">е</w:t>
      </w:r>
      <w:r>
        <w:rPr>
          <w:color w:val="000000"/>
          <w:sz w:val="28"/>
          <w:szCs w:val="28"/>
        </w:rPr>
        <w:t xml:space="preserve"> Администрации муниципального округа по снижению уровня преступности будут следующие: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</w:t>
      </w:r>
      <w:r>
        <w:rPr>
          <w:sz w:val="28"/>
          <w:szCs w:val="28"/>
        </w:rPr>
        <w:t xml:space="preserve">еализация </w:t>
      </w:r>
      <w:r>
        <w:rPr>
          <w:sz w:val="28"/>
          <w:szCs w:val="28"/>
        </w:rPr>
        <w:t xml:space="preserve">к</w:t>
      </w:r>
      <w:r>
        <w:rPr>
          <w:sz w:val="28"/>
          <w:szCs w:val="28"/>
        </w:rPr>
        <w:t xml:space="preserve">омплексных мер профилактики немедицинского потребления наркотических средств, психотропных веществ и их аналогов, противодействия их незаконному обороту в округе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</w:t>
      </w:r>
      <w:r>
        <w:rPr>
          <w:sz w:val="28"/>
          <w:szCs w:val="28"/>
        </w:rPr>
        <w:t xml:space="preserve">рофилактика правонарушений, борьба с преступностью, обеспечения безопасности дорожного движения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р</w:t>
      </w:r>
      <w:r>
        <w:rPr>
          <w:sz w:val="28"/>
          <w:szCs w:val="28"/>
        </w:rPr>
        <w:t xml:space="preserve">еализация мероприятий концепции безопасности населения Чернянского района, снижение рисков от чрезвычайных ситуаций природного техногенного характера и террористических п</w:t>
      </w:r>
      <w:r>
        <w:rPr>
          <w:sz w:val="28"/>
          <w:szCs w:val="28"/>
        </w:rPr>
        <w:t xml:space="preserve">роявлений</w:t>
      </w:r>
      <w:r>
        <w:rPr>
          <w:sz w:val="28"/>
          <w:szCs w:val="28"/>
        </w:rPr>
        <w:t xml:space="preserve">;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у</w:t>
      </w:r>
      <w:r>
        <w:rPr>
          <w:sz w:val="28"/>
          <w:szCs w:val="28"/>
        </w:rPr>
        <w:t xml:space="preserve">лучшение условий и охраны труда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мероприятия по совершенствованию и укреплению системы защит</w:t>
      </w:r>
      <w:r>
        <w:rPr>
          <w:sz w:val="28"/>
          <w:szCs w:val="28"/>
        </w:rPr>
        <w:t xml:space="preserve">ы прав потребителей;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мониторинг безопасности и качества товаров (работ, услуг) на потребительском рынке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организация и развитие единой информационно-просветительской системы по защите прав потребителей, правовому обучению и пропаганде знаний в сфере потребительского образования.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Ожидаемые результаты к 2030 году: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снижение числа зарегистрированных преступлений (на 100 тыс. человек населения) до</w:t>
      </w:r>
      <w:r>
        <w:rPr>
          <w:sz w:val="28"/>
          <w:szCs w:val="28"/>
          <w:highlight w:val="red"/>
        </w:rPr>
        <w:t xml:space="preserve"> 680 е</w:t>
      </w:r>
      <w:r>
        <w:rPr>
          <w:sz w:val="28"/>
          <w:szCs w:val="28"/>
        </w:rPr>
        <w:t xml:space="preserve">д.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4.3.4. Развитие гражданского общества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 xml:space="preserve">Развитие гражданского общества  невозможно без инициатив населения, без создания общественных объединений, участву</w:t>
      </w:r>
      <w:r>
        <w:rPr>
          <w:color w:val="auto"/>
          <w:sz w:val="28"/>
          <w:szCs w:val="28"/>
          <w:shd w:val="clear" w:color="auto" w:fill="ffffff"/>
        </w:rPr>
        <w:t xml:space="preserve">ющих в решении социально значимых проблем. С помощью институтов гражданского общества органы местного самоуправления получают информацию об эффективности своих действий, сокращают разрыв между властью и обществом, устанавливают обратную связь с населением.</w:t>
      </w:r>
      <w:r>
        <w:rPr>
          <w:color w:val="auto"/>
          <w:sz w:val="28"/>
          <w:szCs w:val="28"/>
          <w:shd w:val="clear" w:color="auto" w:fill="ffffff"/>
        </w:rPr>
      </w:r>
      <w:r>
        <w:rPr>
          <w:color w:val="auto"/>
          <w:sz w:val="28"/>
          <w:szCs w:val="28"/>
          <w:shd w:val="clear" w:color="auto" w:fill="ffffff"/>
        </w:rPr>
      </w:r>
    </w:p>
    <w:p>
      <w:pPr>
        <w:pStyle w:val="1285"/>
        <w:ind w:firstLine="709"/>
        <w:jc w:val="both"/>
        <w:widowControl w:val="off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Основные задачи: </w:t>
      </w:r>
      <w:r>
        <w:rPr>
          <w:iCs/>
          <w:sz w:val="28"/>
          <w:szCs w:val="28"/>
        </w:rPr>
      </w:r>
      <w:r>
        <w:rPr>
          <w:iCs/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роведение мероприятий, направленных на повышение социальной ответственности бизнеса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п</w:t>
      </w:r>
      <w:r>
        <w:rPr>
          <w:sz w:val="28"/>
          <w:szCs w:val="28"/>
        </w:rPr>
        <w:t xml:space="preserve">оддержка создания и развития общественных организаций и объединений, оказывающих помощь гражданам в реализации и защите их законных прав и интересов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п</w:t>
      </w:r>
      <w:r>
        <w:rPr>
          <w:sz w:val="28"/>
          <w:szCs w:val="28"/>
        </w:rPr>
        <w:t xml:space="preserve">овышение качества работы местных средств массовой информации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Ожидаемые результаты к 2030 году: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р</w:t>
      </w:r>
      <w:r>
        <w:rPr>
          <w:sz w:val="28"/>
          <w:szCs w:val="28"/>
        </w:rPr>
        <w:t xml:space="preserve">азвитие таких институтов гражданского общества, как общественные объединения и организации, свободные СМИ в целя</w:t>
      </w:r>
      <w:r>
        <w:rPr>
          <w:sz w:val="28"/>
          <w:szCs w:val="28"/>
        </w:rPr>
        <w:t xml:space="preserve">х защиты прав и свобод граждан; у</w:t>
      </w:r>
      <w:r>
        <w:rPr>
          <w:sz w:val="28"/>
          <w:szCs w:val="28"/>
        </w:rPr>
        <w:t xml:space="preserve">частие</w:t>
      </w:r>
      <w:r>
        <w:rPr>
          <w:sz w:val="28"/>
          <w:szCs w:val="28"/>
        </w:rPr>
        <w:t xml:space="preserve"> бизнес-сообщества в решении проблем социального характера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увеличение </w:t>
      </w:r>
      <w:r>
        <w:rPr>
          <w:sz w:val="28"/>
          <w:szCs w:val="28"/>
        </w:rPr>
        <w:t xml:space="preserve">бюджетной обеспеченности (расходы местного бюджета) на одного жителя до 40,3 тыс. рублей.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center"/>
        <w:widowControl w:val="off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</w:p>
    <w:p>
      <w:pPr>
        <w:pStyle w:val="1285"/>
        <w:ind w:firstLine="709"/>
        <w:jc w:val="center"/>
        <w:widowControl w:val="off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4.3.5</w:t>
      </w:r>
      <w:r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 xml:space="preserve">Пространственное развитие</w:t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</w:p>
    <w:p>
      <w:pPr>
        <w:pStyle w:val="1285"/>
        <w:ind w:firstLine="709"/>
        <w:jc w:val="center"/>
        <w:widowControl w:val="off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95"/>
        <w:ind w:firstLine="709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Целью пространственного развития муниципального образования является оценка современного состояния и определение направлений комплексного развития территории, представляющей собой пространственную дифференциацию условий и ресурсов.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95"/>
        <w:ind w:firstLine="709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Для достижения поставленной цели необходимо решать следующие задачи: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о</w:t>
      </w:r>
      <w:r>
        <w:rPr>
          <w:sz w:val="28"/>
          <w:szCs w:val="28"/>
        </w:rPr>
        <w:t xml:space="preserve">рганизация участия бизнес-сообщества, общественных организаций и объединений в решении вопросов местного значения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мероприятия по созданию и функционированию общественного совета при главе администрации района</w:t>
      </w:r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95"/>
        <w:ind w:firstLine="709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постановка задач территориального планирования, решение которых обеспечивает условия для реализации приоритетных функций муниципального района, определенных в каче</w:t>
      </w:r>
      <w:r>
        <w:rPr>
          <w:sz w:val="28"/>
          <w:szCs w:val="28"/>
        </w:rPr>
        <w:t xml:space="preserve">стве его стратегического выбора;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95"/>
        <w:ind w:firstLine="709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 планировочный анализ современного состояния территории для обоснования решения зада</w:t>
      </w:r>
      <w:r>
        <w:rPr>
          <w:sz w:val="28"/>
          <w:szCs w:val="28"/>
        </w:rPr>
        <w:t xml:space="preserve">ч территориального планирования.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Ожидаемые результаты к 2030 году: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- увеличение 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роизводственн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потенциал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на единицу территории (млн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рублей на 1 км</w:t>
      </w:r>
      <w:r>
        <w:rPr>
          <w:sz w:val="28"/>
          <w:szCs w:val="28"/>
          <w:vertAlign w:val="superscript"/>
        </w:rPr>
        <w:t xml:space="preserve">2</w:t>
      </w:r>
      <w:r>
        <w:rPr>
          <w:sz w:val="28"/>
          <w:szCs w:val="28"/>
        </w:rPr>
        <w:t xml:space="preserve">) до 8,5 млн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рублей.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285"/>
        <w:ind w:firstLine="709"/>
        <w:jc w:val="both"/>
        <w:widowControl w:val="off"/>
        <w:rPr>
          <w:sz w:val="28"/>
          <w:szCs w:val="28"/>
        </w:rPr>
        <w:sectPr>
          <w:headerReference w:type="default" r:id="rId14"/>
          <w:footnotePr/>
          <w:endnotePr/>
          <w:type w:val="nextPage"/>
          <w:pgSz w:w="11906" w:h="16838" w:orient="portrait"/>
          <w:pgMar w:top="851" w:right="567" w:bottom="851" w:left="1531" w:header="397" w:footer="0" w:gutter="0"/>
          <w:cols w:num="1" w:sep="0" w:space="708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</w:pPr>
      <w:r>
        <w:rPr>
          <w:b/>
          <w:sz w:val="32"/>
          <w:szCs w:val="32"/>
          <w:u w:val="single"/>
        </w:rPr>
        <w:t xml:space="preserve">Индикаторы реализации третьего стратегического направления –</w:t>
      </w:r>
      <w:r/>
    </w:p>
    <w:p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 xml:space="preserve">«Повышение качества условий жизнедеятельности населения Чернянского муниципального округа</w:t>
      </w:r>
      <w:r>
        <w:rPr>
          <w:b/>
          <w:bCs/>
          <w:i/>
          <w:sz w:val="32"/>
          <w:szCs w:val="32"/>
          <w:highlight w:val="none"/>
          <w:u w:val="single"/>
        </w:rPr>
      </w:r>
      <w:r>
        <w:rPr>
          <w:b/>
          <w:i/>
          <w:sz w:val="32"/>
          <w:szCs w:val="32"/>
          <w:u w:val="single"/>
        </w:rPr>
      </w:r>
    </w:p>
    <w:p>
      <w:pPr>
        <w:jc w:val="center"/>
        <w:rPr>
          <w:b/>
          <w:bCs/>
          <w:i/>
          <w:sz w:val="32"/>
          <w:szCs w:val="32"/>
          <w:u w:val="single"/>
        </w:rPr>
      </w:pPr>
      <w:r>
        <w:rPr>
          <w:b/>
          <w:bCs/>
          <w:i/>
          <w:sz w:val="32"/>
          <w:szCs w:val="32"/>
          <w:u w:val="single"/>
        </w:rPr>
      </w:r>
      <w:r>
        <w:rPr>
          <w:b/>
          <w:bCs/>
          <w:i/>
          <w:sz w:val="32"/>
          <w:szCs w:val="32"/>
          <w:u w:val="single"/>
        </w:rPr>
      </w:r>
    </w:p>
    <w:tbl>
      <w:tblPr>
        <w:tblW w:w="4356" w:type="pct"/>
        <w:jc w:val="center"/>
        <w:tblInd w:w="-106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800"/>
        <w:gridCol w:w="6114"/>
        <w:gridCol w:w="1417"/>
        <w:gridCol w:w="1417"/>
        <w:gridCol w:w="1134"/>
        <w:gridCol w:w="1276"/>
        <w:gridCol w:w="1217"/>
      </w:tblGrid>
      <w:tr>
        <w:tblPrEx/>
        <w:trPr>
          <w:cantSplit/>
          <w:jc w:val="center"/>
          <w:trHeight w:val="300"/>
          <w:tblHeader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№ п/п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611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Индикаторы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2011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отчет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2016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отчет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2020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отчет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2025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отчет</w:t>
            </w:r>
            <w:r>
              <w:rPr>
                <w:b/>
              </w:rPr>
            </w:r>
            <w:r>
              <w:rPr>
                <w:b/>
              </w:rPr>
            </w:r>
          </w:p>
        </w:tc>
        <w:tc>
          <w:tcPr>
            <w:tcW w:w="1217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2030</w:t>
            </w:r>
            <w:r>
              <w:rPr>
                <w:b/>
              </w:rPr>
            </w:r>
            <w:r>
              <w:rPr>
                <w:b/>
              </w:rPr>
            </w:r>
          </w:p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прогноз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jc w:val="center"/>
          <w:trHeight w:val="300"/>
        </w:trPr>
        <w:tc>
          <w:tcPr>
            <w:gridSpan w:val="7"/>
            <w:tcW w:w="1337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Качество жилищных условий, комплексное благоустройство населенных пунктов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Общая площадь жилых помещений, приходящаяся в среднем на одного жителя (кв.м)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30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31,9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33,0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36,2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38,8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Доля населения, получившего жилые помещения и улучшившего жилищные условия в отчетном году, в общей численности населения, состоящего на учете в качестве нуждающегося в жилых помещениях (%)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19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Уровень благоустройства жилищного фонда (%) – жилищный фонд, оборудованный: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Водопроводом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Водоотведением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90,62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90,62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93,75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94,0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94,5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центральным отоплением 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48,44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43,75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42,19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43,44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43,75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индивидуальным отоплением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51,56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56,25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57,81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51,56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56,25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/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Газом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92,19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92,19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93,75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94,00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94,2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Приведение фасадов зданий в соответствие с архитектурно-художественной концепцией на территории Чернянского района (единиц) 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Ландшафтное обустройство территорий населенных пунктов Чернянского района (единиц)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-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Доля протяженности автомобильных дорог общего пользования с твердым покрытием в общей протяженности автодорог общего пользования (%)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58,28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94,88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96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96,3</w:t>
            </w:r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97</w:t>
            </w:r>
            <w:r/>
          </w:p>
        </w:tc>
      </w:tr>
      <w:tr>
        <w:tblPrEx/>
        <w:trPr>
          <w:jc w:val="center"/>
          <w:trHeight w:val="300"/>
        </w:trPr>
        <w:tc>
          <w:tcPr>
            <w:gridSpan w:val="7"/>
            <w:tcW w:w="1337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Экология и рациональное природопользование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pStyle w:val="1285"/>
              <w:jc w:val="center"/>
            </w:pPr>
            <w:r>
              <w:t xml:space="preserve">7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Удельная величина потребления электроэнергии в многоквартирных домах (кВт.ч. на 1 проживающего)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753,19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686,43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670,0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672,0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674,0</w:t>
            </w:r>
            <w:r/>
            <w:r/>
          </w:p>
        </w:tc>
      </w:tr>
      <w:tr>
        <w:tblPrEx/>
        <w:trPr>
          <w:jc w:val="center"/>
          <w:trHeight w:val="872"/>
        </w:trPr>
        <w:tc>
          <w:tcPr>
            <w:tcW w:w="800" w:type="dxa"/>
            <w:textDirection w:val="lrTb"/>
            <w:noWrap w:val="false"/>
          </w:tcPr>
          <w:p>
            <w:pPr>
              <w:pStyle w:val="1285"/>
              <w:jc w:val="center"/>
            </w:pPr>
            <w:r>
              <w:t xml:space="preserve">8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Удельная величина потребления тепловой энергии в многоквартирных домах (Гкал на 1 метр общей площади)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0,32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0,17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0,15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0,4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0,11</w:t>
            </w:r>
            <w:r/>
            <w:r/>
          </w:p>
        </w:tc>
      </w:tr>
      <w:tr>
        <w:tblPrEx/>
        <w:trPr>
          <w:jc w:val="center"/>
          <w:trHeight w:val="761"/>
        </w:trPr>
        <w:tc>
          <w:tcPr>
            <w:tcW w:w="800" w:type="dxa"/>
            <w:textDirection w:val="lrTb"/>
            <w:noWrap w:val="false"/>
          </w:tcPr>
          <w:p>
            <w:pPr>
              <w:pStyle w:val="1285"/>
              <w:jc w:val="center"/>
            </w:pPr>
            <w:r>
              <w:t xml:space="preserve">9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Удельная величина потребления горячей воды в многоквартирных домах (м3 на 1 проживающего)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8,31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2,09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2,05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2,0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1,9</w:t>
            </w:r>
            <w:r/>
            <w:r/>
          </w:p>
        </w:tc>
      </w:tr>
      <w:tr>
        <w:tblPrEx/>
        <w:trPr>
          <w:jc w:val="center"/>
          <w:trHeight w:val="840"/>
        </w:trPr>
        <w:tc>
          <w:tcPr>
            <w:tcW w:w="800" w:type="dxa"/>
            <w:textDirection w:val="lrTb"/>
            <w:noWrap w:val="false"/>
          </w:tcPr>
          <w:p>
            <w:pPr>
              <w:pStyle w:val="1285"/>
              <w:jc w:val="center"/>
            </w:pPr>
            <w:r>
              <w:t xml:space="preserve">10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Удельная величина потребления холодной воды в многоквартирных домах (м3 на 1 проживающего)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81,83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25,87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24,0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23,0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23,0</w:t>
            </w:r>
            <w:r/>
            <w:r/>
          </w:p>
        </w:tc>
      </w:tr>
      <w:tr>
        <w:tblPrEx/>
        <w:trPr>
          <w:jc w:val="center"/>
          <w:trHeight w:val="840"/>
        </w:trPr>
        <w:tc>
          <w:tcPr>
            <w:tcW w:w="800" w:type="dxa"/>
            <w:textDirection w:val="lrTb"/>
            <w:noWrap w:val="false"/>
          </w:tcPr>
          <w:p>
            <w:pPr>
              <w:pStyle w:val="1285"/>
              <w:jc w:val="center"/>
            </w:pPr>
            <w:r>
              <w:t xml:space="preserve">11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Удельная величина потребления природного газа в многоквартирных домах (м3 на 1 проживающего)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311,3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350,03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348,0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r>
              <w:t xml:space="preserve">   345,0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345,0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pStyle w:val="1285"/>
              <w:jc w:val="center"/>
            </w:pPr>
            <w:r>
              <w:t xml:space="preserve">12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Выбросы загрязняющих веществ в атмосферный воздух, отходящих от стационарных источников загрязнения (тыс.тонн)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0,28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0,59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0,59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0,50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gridSpan w:val="7"/>
            <w:tcW w:w="1337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Укрепление правопорядка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>
              <w:t xml:space="preserve">13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Число зарегистрированных преступлений (на 100 тыс.человек населения)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808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713,0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700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690</w:t>
            </w:r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680</w:t>
            </w:r>
            <w:r/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>
              <w:t xml:space="preserve">14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Административные правонарушения в области дорожного движения с участием несовершеннолетних лиц (единиц)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44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30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20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19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gridSpan w:val="7"/>
            <w:tcW w:w="13375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Развитие гражданского общества и местного самоуправления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>
              <w:t xml:space="preserve">15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Бюджетная обеспеченность (расходы местного бюджета) на одного жителя (тыс.рублей)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45,5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30,1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30,9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82,9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83,0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>
              <w:t xml:space="preserve">16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(без учета субвенций) (%)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11,4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38,0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39,7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40,0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41,0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gridSpan w:val="7"/>
            <w:tcW w:w="13375" w:type="dxa"/>
            <w:textDirection w:val="lrTb"/>
            <w:noWrap w:val="false"/>
          </w:tcPr>
          <w:p>
            <w:pPr>
              <w:jc w:val="center"/>
              <w:rPr>
                <w:b/>
              </w:rPr>
            </w:pPr>
            <w:r>
              <w:rPr>
                <w:b/>
              </w:rPr>
              <w:t xml:space="preserve">Пространственное развитие</w:t>
            </w:r>
            <w:r>
              <w:rPr>
                <w:b/>
              </w:rPr>
            </w:r>
            <w:r>
              <w:rPr>
                <w:b/>
              </w:rPr>
            </w:r>
          </w:p>
        </w:tc>
      </w:tr>
      <w:tr>
        <w:tblPrEx/>
        <w:trPr>
          <w:jc w:val="center"/>
          <w:trHeight w:val="568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>
              <w:t xml:space="preserve">17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Плотность населения (человек на 1 км</w:t>
            </w:r>
            <w:r>
              <w:rPr>
                <w:vertAlign w:val="superscript"/>
              </w:rPr>
              <w:t xml:space="preserve">2</w:t>
            </w:r>
            <w:r>
              <w:t xml:space="preserve">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26,3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25,6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25,2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23,62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23,62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>
              <w:t xml:space="preserve">18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jc w:val="both"/>
            </w:pPr>
            <w:r>
              <w:t xml:space="preserve">Доля сельского населения  (%)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53,3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52,5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56,1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51,71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53,0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>
              <w:t xml:space="preserve">19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pStyle w:val="1285"/>
              <w:jc w:val="both"/>
            </w:pPr>
            <w:r>
              <w:t xml:space="preserve">Производственный потенциал на единицу территории (млн. рублей на 1 км</w:t>
            </w:r>
            <w:r>
              <w:rPr>
                <w:vertAlign w:val="superscript"/>
              </w:rPr>
              <w:t xml:space="preserve">2</w:t>
            </w:r>
            <w:r>
              <w:t xml:space="preserve">)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1,43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2,45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2,47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2,6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2,7</w:t>
            </w:r>
            <w:r/>
            <w:r/>
          </w:p>
        </w:tc>
      </w:tr>
      <w:tr>
        <w:tblPrEx/>
        <w:trPr>
          <w:jc w:val="center"/>
          <w:trHeight w:val="300"/>
        </w:trPr>
        <w:tc>
          <w:tcPr>
            <w:tcW w:w="800" w:type="dxa"/>
            <w:textDirection w:val="lrTb"/>
            <w:noWrap w:val="false"/>
          </w:tcPr>
          <w:p>
            <w:pPr>
              <w:jc w:val="center"/>
            </w:pPr>
            <w:r>
              <w:t xml:space="preserve">20</w:t>
            </w:r>
            <w:r/>
            <w:r/>
          </w:p>
        </w:tc>
        <w:tc>
          <w:tcPr>
            <w:tcW w:w="6114" w:type="dxa"/>
            <w:textDirection w:val="lrTb"/>
            <w:noWrap w:val="false"/>
          </w:tcPr>
          <w:p>
            <w:pPr>
              <w:pStyle w:val="1028"/>
              <w:ind w:firstLine="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Плотность инфраструктур на единицу территории (включая транспортные сети) (км на 1 км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0,28</w:t>
            </w:r>
            <w:r/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0,55</w:t>
            </w:r>
            <w:r/>
            <w:r/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0,41</w:t>
            </w:r>
            <w:r/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0,41</w:t>
            </w:r>
            <w:r/>
            <w:r/>
          </w:p>
        </w:tc>
        <w:tc>
          <w:tcPr>
            <w:tcW w:w="1217" w:type="dxa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0,43</w:t>
            </w:r>
            <w:r/>
            <w:r/>
          </w:p>
        </w:tc>
      </w:tr>
    </w:tbl>
    <w:p>
      <w:pPr>
        <w:sectPr>
          <w:footnotePr/>
          <w:endnotePr/>
          <w:type w:val="nextPage"/>
          <w:pgSz w:w="16838" w:h="11906" w:orient="landscape"/>
          <w:pgMar w:top="1531" w:right="851" w:bottom="567" w:left="851" w:header="397" w:footer="0" w:gutter="0"/>
          <w:cols w:num="1" w:sep="0" w:space="708" w:equalWidth="1"/>
          <w:docGrid w:linePitch="360"/>
        </w:sectPr>
      </w:pPr>
      <w:r/>
      <w:r/>
    </w:p>
    <w:p>
      <w:pPr>
        <w:pStyle w:val="1029"/>
        <w:jc w:val="both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5</w:t>
      </w:r>
      <w:r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Основные результаты реализации С</w:t>
      </w:r>
      <w:r>
        <w:rPr>
          <w:b/>
          <w:sz w:val="28"/>
          <w:szCs w:val="28"/>
        </w:rPr>
        <w:t xml:space="preserve">тратегии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ind w:firstLine="72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  <w:r>
        <w:rPr>
          <w:b/>
          <w:sz w:val="28"/>
          <w:szCs w:val="28"/>
          <w:u w:val="single"/>
        </w:rPr>
      </w:r>
      <w:r>
        <w:rPr>
          <w:b/>
          <w:sz w:val="28"/>
          <w:szCs w:val="28"/>
          <w:u w:val="single"/>
        </w:rPr>
      </w:r>
    </w:p>
    <w:p>
      <w:pPr>
        <w:pStyle w:val="1038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Основными результатами реализации Стратегии социально-экономического развития Чернянского муниципального округа</w:t>
      </w:r>
      <w:r>
        <w:rPr>
          <w:sz w:val="28"/>
          <w:szCs w:val="28"/>
        </w:rPr>
        <w:t xml:space="preserve"> станут</w:t>
      </w:r>
      <w:r>
        <w:rPr>
          <w:sz w:val="28"/>
          <w:szCs w:val="28"/>
        </w:rPr>
        <w:t xml:space="preserve">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03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- </w:t>
      </w:r>
      <w:r>
        <w:rPr>
          <w:sz w:val="28"/>
          <w:szCs w:val="28"/>
        </w:rPr>
        <w:t xml:space="preserve">формирование благоприятного инвестиционного и предпринимательского климата, увеличение притока инвестиций на территорию района, рост численности занятых в сельском хозяйстве за счет развития личного подсобного </w:t>
      </w:r>
      <w:r>
        <w:rPr>
          <w:sz w:val="28"/>
          <w:szCs w:val="28"/>
        </w:rPr>
        <w:t xml:space="preserve">хозяйства, в промышленности - за счет модернизации действующих и создания новых предприятий, и в малом предпринимательстве</w:t>
      </w:r>
      <w:r>
        <w:rPr>
          <w:sz w:val="28"/>
          <w:szCs w:val="28"/>
        </w:rPr>
        <w:t xml:space="preserve">;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1038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обеспечение устойчивого функционирования жизненно важных секторов экономики;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8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улучшение демографической ситуации в результате осуществления мер по снижению заболеваемости и смертности, создания предпосылок для стабилизации и увеличения рождаемости.</w:t>
      </w:r>
      <w:r>
        <w:rPr>
          <w:sz w:val="28"/>
          <w:szCs w:val="28"/>
        </w:rPr>
        <w:tab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Обобщающие результаты реализации Стратегии приведены в таблице.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8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Таблица 5</w:t>
      </w:r>
      <w:r>
        <w:rPr>
          <w:i/>
          <w:sz w:val="28"/>
          <w:szCs w:val="28"/>
        </w:rPr>
        <w:t xml:space="preserve">8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jc w:val="center"/>
        <w:spacing w:after="120"/>
        <w:rPr>
          <w:rFonts w:eastAsia="Calibri"/>
          <w:b/>
          <w:bCs/>
          <w:sz w:val="28"/>
          <w:szCs w:val="28"/>
          <w:highlight w:val="none"/>
        </w:rPr>
      </w:pPr>
      <w:r>
        <w:rPr>
          <w:rFonts w:eastAsia="Calibri"/>
          <w:b/>
          <w:sz w:val="28"/>
          <w:szCs w:val="28"/>
        </w:rPr>
        <w:t xml:space="preserve">Основные индикаторы Стратегии социально-экономического развития Чернянского муниципального округа на период до 2030 года</w:t>
      </w:r>
      <w:r>
        <w:rPr>
          <w:rFonts w:eastAsia="Calibri"/>
          <w:b/>
          <w:sz w:val="28"/>
          <w:szCs w:val="28"/>
        </w:rPr>
      </w:r>
      <w:r>
        <w:rPr>
          <w:rFonts w:eastAsia="Calibri"/>
          <w:b/>
          <w:bCs/>
          <w:sz w:val="28"/>
          <w:szCs w:val="28"/>
          <w:highlight w:val="none"/>
        </w:rPr>
      </w:r>
    </w:p>
    <w:tbl>
      <w:tblPr>
        <w:tblW w:w="5000" w:type="pct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000" w:firstRow="0" w:lastRow="0" w:firstColumn="0" w:lastColumn="0" w:noHBand="0" w:noVBand="0"/>
      </w:tblPr>
      <w:tblGrid>
        <w:gridCol w:w="680"/>
        <w:gridCol w:w="6954"/>
        <w:gridCol w:w="1154"/>
        <w:gridCol w:w="1236"/>
      </w:tblGrid>
      <w:tr>
        <w:tblPrEx/>
        <w:trPr>
          <w:trHeight w:val="630"/>
          <w:tblHeader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п/п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W w:w="3482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Наименование индикатора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2025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год отчет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2030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прогноз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</w:tr>
      <w:tr>
        <w:tblPrEx/>
        <w:trPr>
          <w:trHeight w:val="473"/>
        </w:trPr>
        <w:tc>
          <w:tcPr>
            <w:gridSpan w:val="4"/>
            <w:shd w:val="pct25" w:color="ffffff" w:fill="ffffff"/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Первое стратегическое направление «Развитие человеческого капитала Чернянского муниципального округа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</w:tr>
      <w:tr>
        <w:tblPrEx/>
        <w:trPr>
          <w:trHeight w:val="335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Среднегодовая численность населения, тыс. человек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28,7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29,0</w:t>
            </w:r>
            <w:r/>
            <w:r/>
          </w:p>
        </w:tc>
      </w:tr>
      <w:tr>
        <w:tblPrEx/>
        <w:trPr>
          <w:trHeight w:val="273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Ожидаемая продолжительность жизни при рождении, лет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75,0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75,0</w:t>
            </w:r>
            <w:r/>
            <w:r/>
          </w:p>
        </w:tc>
      </w:tr>
      <w:tr>
        <w:tblPrEx/>
        <w:trPr>
          <w:trHeight w:val="278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Общий коэффициент рождаемости, чел. на 1 тыс. населения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6,14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6,15</w:t>
            </w:r>
            <w:r/>
            <w:r/>
          </w:p>
        </w:tc>
      </w:tr>
      <w:tr>
        <w:tblPrEx/>
        <w:trPr>
          <w:trHeight w:val="275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Общий коэффициент смертности, чел. на 1 тыс. населения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15,1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15,1</w:t>
            </w:r>
            <w:r/>
            <w:r/>
          </w:p>
        </w:tc>
      </w:tr>
      <w:tr>
        <w:tblPrEx/>
        <w:trPr>
          <w:trHeight w:val="531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5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Младенческая смертность, случаев на 1 тыс. родившихся живыми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1,0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1,0</w:t>
            </w:r>
            <w:r/>
            <w:r/>
          </w:p>
        </w:tc>
      </w:tr>
      <w:tr>
        <w:tblPrEx/>
        <w:trPr>
          <w:trHeight w:val="531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Доля населения, регулярно занимающегося физкультурой и спортом,%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60,0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62,0</w:t>
            </w:r>
            <w:r/>
            <w:r/>
          </w:p>
        </w:tc>
      </w:tr>
      <w:tr>
        <w:tblPrEx/>
        <w:trPr>
          <w:trHeight w:val="531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Доля учащихся, обучающихся в современных условиях, от общего числа учащихся на всех уровнях образования,%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100</w:t>
            </w:r>
            <w:r/>
            <w:r/>
          </w:p>
        </w:tc>
      </w:tr>
      <w:tr>
        <w:tblPrEx/>
        <w:trPr>
          <w:trHeight w:val="531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Среднемесячная заработная плата одного работника (по полному кругу организаций), рублей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62929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76283</w:t>
            </w:r>
            <w:r/>
            <w:r/>
          </w:p>
        </w:tc>
      </w:tr>
      <w:tr>
        <w:tblPrEx/>
        <w:trPr>
          <w:trHeight w:val="531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Уровень зарегистрированной безработицы,%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0,38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0,29</w:t>
            </w:r>
            <w:r/>
            <w:r/>
          </w:p>
        </w:tc>
      </w:tr>
      <w:tr>
        <w:tblPrEx/>
        <w:trPr>
          <w:trHeight w:val="531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10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Число посещений культурно-досуговых учреждений, тыс. посещений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2050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2150,0</w:t>
            </w:r>
            <w:r/>
            <w:r/>
          </w:p>
        </w:tc>
      </w:tr>
      <w:tr>
        <w:tblPrEx/>
        <w:trPr>
          <w:trHeight w:val="473"/>
          <w:tblHeader/>
        </w:trPr>
        <w:tc>
          <w:tcPr>
            <w:gridSpan w:val="4"/>
            <w:shd w:val="pct25" w:color="ffffff" w:fill="ffffff"/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Второе стратегическое направление «Экономическое инновационно -ориентированное развитие Чернянского муниципального округа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</w:tr>
      <w:tr>
        <w:tblPrEx/>
        <w:trPr>
          <w:trHeight w:val="531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Объем промышленного производства на душу населения, тыс.рублей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43943,55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44822,42</w:t>
            </w:r>
            <w:r/>
            <w:r/>
          </w:p>
        </w:tc>
      </w:tr>
      <w:tr>
        <w:tblPrEx/>
        <w:trPr>
          <w:trHeight w:val="539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12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Объем продукции сельского хозяйства в хозяйствах всех категорий на душу населения, тыс.рублей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40461,32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42484,38</w:t>
            </w:r>
            <w:r/>
            <w:r/>
          </w:p>
        </w:tc>
      </w:tr>
      <w:tr>
        <w:tblPrEx/>
        <w:trPr>
          <w:trHeight w:val="352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13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Ввод в эксплуатацию жилых домов за счет всех источников финансирования, тыс. кв.м.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9900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11000</w:t>
            </w:r>
            <w:r/>
            <w:r/>
          </w:p>
        </w:tc>
      </w:tr>
      <w:tr>
        <w:tblPrEx/>
        <w:trPr>
          <w:trHeight w:val="352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14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Оборот розничной торговли на душу населения, тыс. рублей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172380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175827,60</w:t>
            </w:r>
            <w:r/>
            <w:r/>
          </w:p>
        </w:tc>
      </w:tr>
      <w:tr>
        <w:tblPrEx/>
        <w:trPr>
          <w:trHeight w:val="539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15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Объем платных услуг на душу населения, тыс. рублей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8970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9149,40</w:t>
            </w:r>
            <w:r/>
            <w:r/>
          </w:p>
        </w:tc>
      </w:tr>
      <w:tr>
        <w:tblPrEx/>
        <w:trPr>
          <w:trHeight w:val="539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16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Инвестиции в основной капитал за счет всех источников финансирования на душу населения, тыс. рублей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77760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79315,20</w:t>
            </w:r>
            <w:r/>
            <w:r/>
          </w:p>
        </w:tc>
      </w:tr>
      <w:tr>
        <w:tblPrEx/>
        <w:trPr>
          <w:trHeight w:val="293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17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Удельный вес инновационных товаров, работ, услуг в общем объеме отгруженных товаров, работ, услуг организаций промышленного производства и сферы услуг,%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0,26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0,27</w:t>
            </w:r>
            <w:r/>
            <w:r/>
          </w:p>
        </w:tc>
      </w:tr>
      <w:tr>
        <w:tblPrEx/>
        <w:trPr>
          <w:trHeight w:val="419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18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Бюджетная обеспеченность (расходы местного бюджета) на одного жителя, тыс.рублей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82,9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83,0</w:t>
            </w:r>
            <w:r/>
            <w:r/>
          </w:p>
        </w:tc>
      </w:tr>
      <w:tr>
        <w:tblPrEx/>
        <w:trPr>
          <w:trHeight w:val="496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19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Число субъектов малого и среднего предпринимательства, на 10 тыс. человек населения 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342,31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349,15</w:t>
            </w:r>
            <w:r/>
            <w:r/>
          </w:p>
        </w:tc>
      </w:tr>
      <w:tr>
        <w:tblPrEx/>
        <w:trPr>
          <w:trHeight w:val="184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19.1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Количество проектов муниципально-частного партнерства (ед.)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9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1</w:t>
            </w:r>
            <w:r/>
            <w:r/>
          </w:p>
        </w:tc>
      </w:tr>
      <w:tr>
        <w:tblPrEx/>
        <w:trPr>
          <w:trHeight w:val="473"/>
          <w:tblHeader/>
        </w:trPr>
        <w:tc>
          <w:tcPr>
            <w:gridSpan w:val="4"/>
            <w:shd w:val="pct25" w:color="ffffff" w:fill="ffffff"/>
            <w:tcW w:w="5000" w:type="pct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Третье стратегическое направление «Повышение качества условий жизнедеятельности населения  Чернянского муниципального округа</w:t>
            </w:r>
            <w:r>
              <w:rPr>
                <w:b/>
                <w:bCs/>
              </w:rPr>
            </w:r>
            <w:r>
              <w:rPr>
                <w:b/>
                <w:bCs/>
              </w:rPr>
            </w:r>
          </w:p>
        </w:tc>
      </w:tr>
      <w:tr>
        <w:tblPrEx/>
        <w:trPr>
          <w:trHeight w:val="525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20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Общая площадь жилых помещений, приходящаяся в среднем на одного жителя,  кв.м 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38,8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40,0</w:t>
            </w:r>
            <w:r/>
            <w:r/>
          </w:p>
        </w:tc>
      </w:tr>
      <w:tr>
        <w:tblPrEx/>
        <w:trPr>
          <w:trHeight w:val="525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21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Доля протяженности автомобильных дорог общего пользования с твердым покрытием в общей протяженности автодорог общего пользования,%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75,5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80,0</w:t>
            </w:r>
            <w:r/>
            <w:r/>
          </w:p>
        </w:tc>
      </w:tr>
      <w:tr>
        <w:tblPrEx/>
        <w:trPr>
          <w:trHeight w:val="525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22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Выбросы загрязняющих веществ в атмосферный воздух, отходящих от стационарных источников загрязнения, тыс. тонн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0,50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0,10</w:t>
            </w:r>
            <w:r/>
            <w:r/>
          </w:p>
        </w:tc>
      </w:tr>
      <w:tr>
        <w:tblPrEx/>
        <w:trPr>
          <w:trHeight w:val="395"/>
        </w:trPr>
        <w:tc>
          <w:tcPr>
            <w:tcW w:w="353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23</w:t>
            </w:r>
            <w:r/>
            <w:r/>
          </w:p>
        </w:tc>
        <w:tc>
          <w:tcPr>
            <w:tcW w:w="3482" w:type="pct"/>
            <w:textDirection w:val="lrTb"/>
            <w:noWrap w:val="false"/>
          </w:tcPr>
          <w:p>
            <w:pPr>
              <w:jc w:val="both"/>
            </w:pPr>
            <w:r>
              <w:t xml:space="preserve">Число зарегистрированных преступлений, на 100 тыс. человек населения</w:t>
            </w:r>
            <w:r/>
            <w:r/>
          </w:p>
        </w:tc>
        <w:tc>
          <w:tcPr>
            <w:tcW w:w="589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849,26</w:t>
            </w:r>
            <w:r/>
            <w:r/>
          </w:p>
        </w:tc>
        <w:tc>
          <w:tcPr>
            <w:tcW w:w="576" w:type="pct"/>
            <w:vAlign w:val="center"/>
            <w:textDirection w:val="lrTb"/>
            <w:noWrap w:val="false"/>
          </w:tcPr>
          <w:p>
            <w:pPr>
              <w:jc w:val="center"/>
            </w:pPr>
            <w:r>
              <w:t xml:space="preserve">805,0</w:t>
            </w:r>
            <w:r/>
            <w:r/>
          </w:p>
        </w:tc>
      </w:tr>
    </w:tbl>
    <w:p>
      <w:pPr>
        <w:jc w:val="center"/>
        <w:spacing w:after="12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</w:r>
      <w:r>
        <w:rPr>
          <w:rFonts w:eastAsia="Calibri"/>
          <w:b/>
          <w:bCs/>
          <w:sz w:val="28"/>
          <w:szCs w:val="28"/>
        </w:rPr>
      </w:r>
    </w:p>
    <w:p>
      <w:pPr>
        <w:jc w:val="center"/>
        <w:spacing w:after="12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  <w:highlight w:val="none"/>
        </w:rPr>
      </w:r>
      <w:r>
        <w:rPr>
          <w:rFonts w:eastAsia="Calibri"/>
          <w:b/>
          <w:sz w:val="28"/>
          <w:szCs w:val="28"/>
          <w:highlight w:val="none"/>
        </w:rPr>
      </w:r>
    </w:p>
    <w:p>
      <w:r/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  <w:r>
        <w:rPr>
          <w:b/>
          <w:color w:val="ff0000"/>
          <w:sz w:val="28"/>
          <w:szCs w:val="28"/>
        </w:rPr>
      </w:r>
    </w:p>
    <w:p>
      <w:pPr>
        <w:rPr>
          <w:b/>
          <w:sz w:val="32"/>
          <w:szCs w:val="32"/>
        </w:rPr>
        <w:sectPr>
          <w:footnotePr/>
          <w:endnotePr/>
          <w:type w:val="nextPage"/>
          <w:pgSz w:w="11906" w:h="16838" w:orient="portrait"/>
          <w:pgMar w:top="851" w:right="567" w:bottom="851" w:left="1531" w:header="397" w:footer="0" w:gutter="0"/>
          <w:cols w:num="1" w:sep="0" w:space="708" w:equalWidth="1"/>
          <w:docGrid w:linePitch="360"/>
        </w:sectPr>
      </w:pPr>
      <w:r>
        <w:rPr>
          <w:b/>
          <w:sz w:val="32"/>
          <w:szCs w:val="32"/>
        </w:rPr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jc w:val="right"/>
      </w:pPr>
      <w:r>
        <w:t xml:space="preserve">Приложение 1</w:t>
      </w:r>
      <w:r/>
    </w:p>
    <w:p>
      <w:pPr>
        <w:jc w:val="right"/>
        <w:rPr>
          <w:sz w:val="32"/>
          <w:szCs w:val="32"/>
        </w:rPr>
      </w:pPr>
      <w:r>
        <w:rPr>
          <w:sz w:val="32"/>
          <w:szCs w:val="32"/>
        </w:rPr>
      </w:r>
      <w:r>
        <w:rPr>
          <w:sz w:val="32"/>
          <w:szCs w:val="32"/>
        </w:rPr>
      </w:r>
      <w:r>
        <w:rPr>
          <w:sz w:val="32"/>
          <w:szCs w:val="32"/>
        </w:rPr>
      </w:r>
    </w:p>
    <w:p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Перечень муниципальных программ Чернянского муниципального округа</w:t>
      </w:r>
      <w:r>
        <w:rPr>
          <w:b/>
          <w:sz w:val="32"/>
          <w:szCs w:val="32"/>
        </w:rPr>
        <w:t xml:space="preserve">,</w:t>
      </w:r>
      <w:r>
        <w:rPr>
          <w:b/>
          <w:sz w:val="32"/>
          <w:szCs w:val="32"/>
        </w:rPr>
        <w:t xml:space="preserve"> необходимых для реализации Стратегии </w:t>
      </w: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</w:rPr>
      </w:r>
      <w:r>
        <w:rPr>
          <w:b/>
          <w:sz w:val="32"/>
          <w:szCs w:val="32"/>
        </w:rPr>
      </w:r>
    </w:p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  <w:r>
        <w:rPr>
          <w:b/>
          <w:bCs/>
          <w:sz w:val="32"/>
          <w:szCs w:val="32"/>
        </w:rPr>
      </w:r>
    </w:p>
    <w:tbl>
      <w:tblPr>
        <w:tblStyle w:val="1056"/>
        <w:tblW w:w="0" w:type="auto"/>
        <w:tblLayout w:type="fixed"/>
        <w:tblLook w:val="04A0" w:firstRow="1" w:lastRow="0" w:firstColumn="1" w:lastColumn="0" w:noHBand="0" w:noVBand="1"/>
      </w:tblPr>
      <w:tblGrid>
        <w:gridCol w:w="600"/>
        <w:gridCol w:w="3375"/>
        <w:gridCol w:w="4819"/>
        <w:gridCol w:w="4385"/>
        <w:gridCol w:w="1972"/>
      </w:tblGrid>
      <w:tr>
        <w:tblPrEx/>
        <w:trPr>
          <w:trHeight w:val="915"/>
        </w:trPr>
        <w:tc>
          <w:tcPr>
            <w:tcBorders>
              <w:top w:val="single" w:color="000000" w:sz="6" w:space="0"/>
              <w:left w:val="single" w:color="000000" w:sz="6" w:space="0"/>
              <w:bottom w:val="non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0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nos" w:hAnsi="Tinos" w:eastAsia="Tinos" w:cs="Tinos"/>
                <w:b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№ п/п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7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nos" w:hAnsi="Tinos" w:eastAsia="Tinos" w:cs="Tinos"/>
                <w:b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Наименование муниципальной программы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81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nos" w:hAnsi="Tinos" w:eastAsia="Tinos" w:cs="Tinos"/>
                <w:b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Основные направления (подпрограммы) реализации муниципальной программы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8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nos" w:hAnsi="Tinos" w:eastAsia="Tinos" w:cs="Tinos"/>
                <w:b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Нормативный документ об утверждении муниципальной программы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4" w:space="0"/>
              <w:bottom w:val="none" w:color="000000" w:sz="4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97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nos" w:hAnsi="Tinos" w:eastAsia="Tinos" w:cs="Tinos"/>
                <w:b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Период действия программы </w:t>
              <w:br/>
              <w:t xml:space="preserve">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375"/>
        </w:trPr>
        <w:tc>
          <w:tcPr>
            <w:tcBorders>
              <w:top w:val="none" w:color="000000" w:sz="4" w:space="0"/>
              <w:left w:val="single" w:color="000000" w:sz="6" w:space="0"/>
              <w:bottom w:val="single" w:color="000000" w:sz="6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0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>
              <w:rPr>
                <w:rFonts w:ascii="Tinos" w:hAnsi="Tinos" w:eastAsia="Tinos" w:cs="Tinos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</w: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7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>
              <w:rPr>
                <w:rFonts w:ascii="Tinos" w:hAnsi="Tinos" w:eastAsia="Tinos" w:cs="Tinos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</w: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81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>
              <w:rPr>
                <w:rFonts w:ascii="Tinos" w:hAnsi="Tinos" w:eastAsia="Tinos" w:cs="Tinos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</w:r>
            <w:r/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8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>
              <w:rPr>
                <w:rFonts w:ascii="Tinos" w:hAnsi="Tinos" w:eastAsia="Tinos" w:cs="Tinos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</w:r>
            <w:r/>
            <w:r/>
          </w:p>
        </w:tc>
        <w:tc>
          <w:tcPr>
            <w:tcBorders>
              <w:top w:val="none" w:color="000000" w:sz="4" w:space="0"/>
              <w:left w:val="single" w:color="000000" w:sz="4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972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</w:pPr>
            <w:r>
              <w:rPr>
                <w:rFonts w:ascii="Tinos" w:hAnsi="Tinos" w:eastAsia="Tinos" w:cs="Tinos"/>
                <w:b/>
                <w:i w:val="0"/>
                <w:strike w:val="0"/>
                <w:color w:val="000000"/>
                <w:sz w:val="22"/>
                <w:u w:val="none"/>
                <w:vertAlign w:val="baseline"/>
              </w:rPr>
            </w:r>
            <w:r/>
            <w:r/>
          </w:p>
        </w:tc>
      </w:tr>
      <w:tr>
        <w:tblPrEx/>
        <w:trPr>
          <w:trHeight w:val="2955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1.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75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Обеспечение безопасности жизнедеятельности населения и территорий Чернянского муниципального округа Белгородской области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819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1. Снижение рисков и смягчение последствий чрезвычайных ситуаций природного и техногенного характера, пожарная безопасность и защита населения</w:t>
              <w:br/>
              <w:t xml:space="preserve">2. Профилактика безнадзорности и правонарушений несовершеннолетних</w:t>
              <w:br/>
              <w:t xml:space="preserve">3. Профилактика немедицинского потребления наркотических средств и психотропных веществ</w:t>
              <w:br/>
              <w:t xml:space="preserve">4. Противодействие терроризму и экстремизму</w:t>
              <w:br/>
              <w:t xml:space="preserve">5. Осуществление отдельных полномочий по рассмотрению дел об административных правонарушениях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85" w:type="dxa"/>
            <w:vAlign w:val="top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Постановление Администрации Чернянского муниципального округа Белгородской области от 25 марта 2026 года № 276 "О внесении изменений в постановление администрации муниципального района "Чернянский район" Белгородской области от 27.12.2024г. № 959 "Об утверждении муниципальной программы "Обеспечение безопасности жизнедеятельности населения Чернянского района Белгородской области"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9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2025-2030 годы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2655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2.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75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Развитие экономического потенциала и формирование благоприятного предпринимательского климата в Чернянском муниципальном округе Белгородской области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819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1. Развитие сельского хозяйства</w:t>
              <w:br/>
              <w:t xml:space="preserve">2. Развитие туризма </w:t>
              <w:br/>
              <w:t xml:space="preserve">3. Развитие и поддержка малого и среднего предпринимательства, улучшение инвестиционного климата</w:t>
              <w:br/>
              <w:t xml:space="preserve">4. Улучшение условий и охраны труда, направленных на сохранение жизни и здоровья работников предприятий и организаций</w:t>
              <w:br/>
              <w:t xml:space="preserve">5. Управление земельными ресурсами и имуществом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85" w:type="dxa"/>
            <w:vAlign w:val="top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Постановление Администрации Чернянского муниципального округа Белгородской области от 24 марта 2026 года № 275 "О внесении изменений в постановление администрации муниципального района "Чернянский район" Белгородской области от 27.12.2024г. № 961  "Об утверждении муниципальной программы "Развитие экономического потенциала и формирование благоприятного предпринимательского климата в Чернянском районе Белгородской области"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9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2025-2030 годы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2565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3.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75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Обеспечение комфортным и доступным жильем, коммунальными услугами жителей Чернянского муниципального округа Белгородской области 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819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Направления (подпрограммы) не выделяются</w:t>
              <w:br/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85" w:type="dxa"/>
            <w:vAlign w:val="top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Постановление Администрации Чернянского муниципального округа Белгородской области от 04 марта 2026 года № 180 "О внесении изменений в постановление администрации муниципального района "Чернянский район" Белгородской области от 25.12.2024г. № 937  "Об утверждении муниципальной программы "Обеспечение комфортным и доступным жильем, коммунальными услугами жителей Чернянского района Белгородской области"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9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2025-2030 годы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228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4.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75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Совершенствование и развитие транспортной системы и дорожной сети Чернянского муниципального округа Белгородской области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819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Направления (подпрограммы) не выделяются</w:t>
              <w:br/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85" w:type="dxa"/>
            <w:vAlign w:val="top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Постановление Главы  Чернянского муниципального округа Белгородской области от 27 февраля 2026 года № 165 "О внесении изменений в постановление администрации муниципального района "Чернянский район" Белгородской области от 24.12.2024г. № 165  "Об утверждении муниципальной программы "Совершенствование и развитие транспортной системы и дорожной сети Чернянского района Белгородской области"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9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2025-2030 годы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2565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5.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75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Развитие образования Чернянского муниципального округа Белгородской области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819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1. Развитие дошкольного образования</w:t>
              <w:br/>
              <w:t xml:space="preserve">2. Развитие общего образования</w:t>
              <w:br/>
              <w:t xml:space="preserve">3. Развитие дополнительного образования детей</w:t>
              <w:br/>
              <w:t xml:space="preserve">4. Развитие системы качества образования</w:t>
              <w:br/>
              <w:t xml:space="preserve">5. Организация отдыха и оздоровления детей и подростков </w:t>
              <w:br/>
              <w:t xml:space="preserve">6. Муниципальная политика в сфере образования</w:t>
              <w:br/>
              <w:t xml:space="preserve">7. Гражданское и патриотическое воспитание, духовно – нравственное развитие и военно – спортивная подготовка молодежи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85" w:type="dxa"/>
            <w:vAlign w:val="top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Постановление Администрации Чернянского муниципального округа Белгородской области от 30 декабря 2025 года № 241 "О внесении изменений в постановление администрации муниципального района "Чернянский район" Белгородской области от 27.12.2024г. № 960  "Об утверждении муниципальной программы "Развитие образования Чернянского района Белгородской области"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9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2025-2030 годы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228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6.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75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Развитие и сохранение культуры Чернянского муниципального округа Белгородской области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819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1.Развитие деятельности организаций культуры</w:t>
              <w:br/>
              <w:t xml:space="preserve">2. Вовлечение граждан в деятельность в сфере культуры</w:t>
              <w:br/>
              <w:t xml:space="preserve">3. Развитие инфраструктуры сферы культуры</w:t>
              <w:br/>
              <w:t xml:space="preserve">4. Обеспечение государственной охраны и популяризация объектов культурного наследия (памятников истории и культуры)</w:t>
              <w:br/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85" w:type="dxa"/>
            <w:vAlign w:val="top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Постановление Администрации Чернянского муниципального округа Белгородской области от 23 марта 2026 года № 260 "О внесении изменений в муниципальную программу "Развитие и сохранение культуры Чернянского района Белгородской области", утвержденную постановлением администрации муниципального района "Чернянский район" Белгородской области от 28.12.2024г. № 964"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9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2025-2030 годы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2565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7.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75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Социальная поддержка граждан в Чернянского муниципальном округе Белгородской области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819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1. Развитие мер социальной поддержки отдельных категорий граждан</w:t>
              <w:br/>
              <w:t xml:space="preserve">2. Модернизация и развитие социального обслуживания населения</w:t>
              <w:br/>
              <w:t xml:space="preserve">3. Социальная поддержка семьи и детей</w:t>
              <w:br/>
              <w:t xml:space="preserve">4. Обеспечение защиты и реализаций прав граждан и организации в сфере государственной регистрации актов гражданского состояния</w:t>
              <w:br/>
              <w:t xml:space="preserve">5. Обеспечение реализации муниципальной программы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85" w:type="dxa"/>
            <w:vAlign w:val="top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Постановление Администрации Чернянского муниципального округа Белгородской области от 12 марта 2026 года № 236 "О внесении изменений в постановление администрации муниципального района "Чернянский район" Белгородской области от 28.12.2024г. № 977  "Об утверждении муниципальной программы "Социальная поддержка граждан в Чернянском районе Белгородской области"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9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2025-2030 годы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285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8.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75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Развитие физической культуры и спорта в Чернянского муниципальном округе Белгородской области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819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1. Развитие физической культуры и массового спорта</w:t>
              <w:br/>
              <w:t xml:space="preserve">2. Укрепление материально-технического обеспечения, инфраструктуры для развития физической культуры и массового спорта</w:t>
              <w:br/>
              <w:t xml:space="preserve">3. Предоставление услуг населению по привлечению к занятиям физической культурой и массовым мероприятиям</w:t>
              <w:br/>
              <w:t xml:space="preserve">4. Вовлечение молодежи в систематическое занятие спортом и ведение здорового образа жизни</w:t>
              <w:br/>
              <w:t xml:space="preserve">5. Повышение доступности молодежи в социально-культурные места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85" w:type="dxa"/>
            <w:vAlign w:val="top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Постановление Администрации Чернянского муниципального округа Белгородской области от 02 апреля 2026 года № 316 "О внесении изменений в постановление администрации муниципального района "Чернянский район" Белгородской области от 25.12.2024г. № 936  "Об утверждении муниципальной программы "Развитие физической культуры и спорта в Чернянском районе Белгородской области"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9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2025-2030 годы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228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9.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75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Формирование современной городской среды на территории Чернянского муниципального округа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819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Направления (подпрограммы) не выделяются</w:t>
              <w:br/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85" w:type="dxa"/>
            <w:vAlign w:val="top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Постановление Администрации Чернянского муниципального округа Белгородской области от 27 февраля 2026 года № 166 "О внесении изменений в постановление администрации муниципального района "Чернянский район" Белгородской области от 24.12.2024г. № 927  "Об утверждении муниципальной программы "Формирование современной городской среды на территории Чернянского района"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9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2025-2030 годы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2280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600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10.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ffffff" w:fill="ffffff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3375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Развитие кадровой политики Чернянского муниципального округа Белгородской области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819" w:type="dxa"/>
            <w:vAlign w:val="center"/>
            <w:textDirection w:val="lrTb"/>
            <w:noWrap w:val="false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1 Развитие муниципальной службы </w:t>
              <w:br/>
              <w:t xml:space="preserve">2. Противодействие коррупции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4385" w:type="dxa"/>
            <w:vAlign w:val="top"/>
            <w:textDirection w:val="lrTb"/>
            <w:noWrap w:val="false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Постановление Администрации Чернянского муниципального округа Белгородской области от 26 марта 2026 года № 281 "О внесении изменений в постановление администрации муниципального района "Чернянский район" Белгородской области от 25.12.2024г. № 935  "Об утверждении муниципальной программы "Развитие кадровой политики Чернянского района Белгородской области"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left w:w="0" w:type="dxa"/>
              <w:top w:w="0" w:type="dxa"/>
              <w:right w:w="0" w:type="dxa"/>
              <w:bottom w:w="0" w:type="dxa"/>
            </w:tcMar>
            <w:tcW w:w="197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  <w:t xml:space="preserve">2025-2030 годы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</w:r>
      <w:r>
        <w:rPr>
          <w:b/>
          <w:sz w:val="24"/>
          <w:szCs w:val="24"/>
        </w:rPr>
      </w:r>
      <w:r>
        <w:rPr>
          <w:b/>
          <w:bCs/>
          <w:sz w:val="24"/>
          <w:szCs w:val="24"/>
        </w:rPr>
      </w:r>
    </w:p>
    <w:p>
      <w:pPr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rPr>
          <w:b/>
          <w:sz w:val="24"/>
          <w:szCs w:val="24"/>
        </w:rPr>
      </w:pPr>
      <w:r>
        <w:rPr>
          <w:b/>
          <w:sz w:val="24"/>
          <w:szCs w:val="24"/>
        </w:rPr>
      </w:r>
      <w:r>
        <w:rPr>
          <w:b/>
          <w:sz w:val="24"/>
          <w:szCs w:val="24"/>
        </w:rPr>
      </w:r>
      <w:r>
        <w:rPr>
          <w:b/>
          <w:sz w:val="24"/>
          <w:szCs w:val="24"/>
        </w:rPr>
      </w:r>
    </w:p>
    <w:p>
      <w:pPr>
        <w:ind w:firstLine="709"/>
        <w:jc w:val="right"/>
        <w:rPr>
          <w:highlight w:val="none"/>
        </w:rPr>
      </w:pPr>
      <w:r>
        <w:rPr>
          <w:b/>
          <w:sz w:val="28"/>
          <w:szCs w:val="28"/>
        </w:rPr>
        <w:br w:type="page" w:clear="all"/>
      </w:r>
      <w:r>
        <w:t xml:space="preserve">Приложение 2</w:t>
      </w:r>
      <w:r/>
    </w:p>
    <w:p>
      <w:pPr>
        <w:ind w:firstLine="709"/>
        <w:jc w:val="right"/>
      </w:pPr>
      <w:r/>
      <w:r/>
    </w:p>
    <w:p>
      <w:pPr>
        <w:jc w:val="center"/>
        <w:tabs>
          <w:tab w:val="left" w:pos="6540" w:leader="none"/>
        </w:tabs>
        <w:rPr>
          <w:b/>
          <w:bCs/>
          <w:sz w:val="28"/>
          <w:szCs w:val="28"/>
        </w:rPr>
      </w:pPr>
      <w:r>
        <w:t xml:space="preserve"> </w:t>
      </w:r>
      <w:r>
        <w:rPr>
          <w:b/>
          <w:sz w:val="28"/>
          <w:szCs w:val="28"/>
        </w:rPr>
        <w:t xml:space="preserve">Перечень приоритетных инвестиционных проектов, реализуемых и планируемых к реализации </w:t>
      </w:r>
      <w:r>
        <w:rPr>
          <w:highlight w:val="none"/>
        </w:rPr>
      </w:r>
    </w:p>
    <w:p>
      <w:pPr>
        <w:jc w:val="center"/>
        <w:tabs>
          <w:tab w:val="left" w:pos="6540" w:leader="none"/>
        </w:tabs>
        <w:rPr>
          <w:highlight w:val="none"/>
        </w:rPr>
      </w:pPr>
      <w:r>
        <w:rPr>
          <w:b/>
          <w:sz w:val="28"/>
          <w:szCs w:val="28"/>
        </w:rPr>
        <w:t xml:space="preserve">в Чернянском муниципальном округе на период до 2030 года.</w:t>
      </w:r>
      <w:r>
        <w:rPr>
          <w:highlight w:val="none"/>
        </w:rPr>
      </w:r>
      <w:r/>
    </w:p>
    <w:p>
      <w:pPr>
        <w:jc w:val="right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tbl>
      <w:tblPr>
        <w:tblW w:w="15714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709"/>
        <w:gridCol w:w="4110"/>
        <w:gridCol w:w="1559"/>
        <w:gridCol w:w="1163"/>
        <w:gridCol w:w="1304"/>
        <w:gridCol w:w="1150"/>
        <w:gridCol w:w="1143"/>
        <w:gridCol w:w="1143"/>
        <w:gridCol w:w="1144"/>
        <w:gridCol w:w="1144"/>
        <w:gridCol w:w="1143"/>
      </w:tblGrid>
      <w:tr>
        <w:tblPrEx/>
        <w:trPr>
          <w:trHeight w:val="645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№ п/п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Наименование инвестиционного проекта, проектная мощность, наименование организации, реализующей проект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Срок 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реализации 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проекта 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(год начала и год окончания)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Стои-мость проекта, млн. рублей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gridSpan w:val="6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7029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в том числе по источникам финансирования,  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млн. рублей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Коли-чество новых рабо-чих мест, еди-ниц 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</w:tr>
      <w:tr>
        <w:tblPrEx/>
        <w:trPr>
          <w:trHeight w:val="2053"/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феде-ральный бюджет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vAlign w:val="center"/>
            <w:textDirection w:val="lrTb"/>
            <w:noWrap w:val="false"/>
          </w:tcPr>
          <w:p>
            <w:pPr>
              <w:ind w:left="-43" w:right="-16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област-ной бюджет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мест-ный бюд-жет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собст-венные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средст-ва пред-прия-тий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креди-ты ком-мер-ческих банков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другие источ-ники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Align w:val="center"/>
            <w:vMerge w:val="continue"/>
            <w:textDirection w:val="lrTb"/>
            <w:noWrap w:val="false"/>
          </w:tcPr>
          <w:p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</w:tr>
      <w:tr>
        <w:tblPrEx/>
        <w:trPr>
          <w:trHeight w:val="757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1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Строительство тепличного комплекса с технологическим оборудованием на базе ИП Богатыревой О.Н.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2023 - 2027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5,25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4,7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0,55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</w:tr>
      <w:tr>
        <w:tblPrEx/>
        <w:trPr>
          <w:trHeight w:val="7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Выращивание земляники садовой, открытого и закрытого грунта  на базе ИП Чухломина Н.Э.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2024 - 2028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5,02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4,52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0,50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</w:tr>
      <w:tr>
        <w:tblPrEx/>
        <w:trPr>
          <w:trHeight w:val="7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3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Создание предприятия по выращиванию овощей закрытого грунта на базе Джангоян Ж.А.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2025-2029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5,4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4,8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0,6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</w:tr>
      <w:tr>
        <w:tblPrEx/>
        <w:trPr>
          <w:trHeight w:val="7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4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Создание молочно-товарной фермы на территории с. Новоречье, на базе ИП Алейников М.В.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2025-2029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7,75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3,3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4,45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</w:tr>
      <w:tr>
        <w:tblPrEx/>
        <w:trPr>
          <w:trHeight w:val="7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5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Строительство базы отдыха </w:t>
            </w:r>
            <w:r>
              <w:rPr>
                <w:lang w:eastAsia="en-US"/>
              </w:rPr>
              <w:t xml:space="preserve">"Дом охотника и рыбака", </w:t>
            </w:r>
            <w:r>
              <w:rPr>
                <w:lang w:eastAsia="en-US"/>
              </w:rPr>
              <w:t xml:space="preserve">ИП Сечин Р.Л.,  х Яблоново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2024 - 2030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14,3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14,3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4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</w:tr>
      <w:tr>
        <w:tblPrEx/>
        <w:trPr>
          <w:trHeight w:val="7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6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Расширение базы отдыха </w:t>
              <w:br/>
              <w:t xml:space="preserve">"Холки-холм",</w:t>
            </w: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ИП Коркин Р.В, с. Холки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2025 - 2027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32,0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32,0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5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</w:tr>
      <w:tr>
        <w:tblPrEx/>
        <w:trPr>
          <w:trHeight w:val="27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7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Строительство  коллективных средств</w:t>
              <w:br/>
              <w:t xml:space="preserve"> размещения на базе отдыха "Холки-глэмпинг", д</w:t>
            </w:r>
            <w:r>
              <w:rPr>
                <w:lang w:eastAsia="en-US"/>
              </w:rPr>
              <w:t xml:space="preserve">иректор Ситнянская О.В., с. Холки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2024 - 2030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19,0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19,0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3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</w:tr>
      <w:tr>
        <w:tblPrEx/>
        <w:trPr>
          <w:trHeight w:val="7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8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Строительство цеха глубокой </w:t>
              <w:br/>
              <w:t xml:space="preserve">заморозки готовой сельскохозяйстенной продукции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2025 - 2027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350,0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350,0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70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</w:tr>
      <w:tr>
        <w:tblPrEx/>
        <w:trPr>
          <w:trHeight w:val="107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9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</w:r>
            <w:r>
              <w:rPr>
                <w:lang w:eastAsia="en-US"/>
              </w:rPr>
              <w:t xml:space="preserve">Модернизация процесса нестационарного обслуживания жителей труднодоступных малонаселенных пунктов Чернянского района</w:t>
            </w:r>
            <w:r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ИП ОвчаровА.П.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2024-2029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3,962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</w:r>
            <w:r>
              <w:rPr>
                <w:rFonts w:ascii="Times New Roman" w:hAnsi="Times New Roman"/>
                <w:color w:val="000000"/>
                <w:highlight w:val="none"/>
              </w:rPr>
              <w:t xml:space="preserve">3,862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0,1</w:t>
            </w:r>
            <w:r>
              <w:rPr>
                <w:rFonts w:ascii="Times New Roman" w:hAnsi="Times New Roman"/>
                <w:color w:val="000000"/>
              </w:rPr>
            </w:r>
            <w:r>
              <w:rPr>
                <w:rFonts w:ascii="Times New Roman" w:hAnsi="Times New Roman"/>
                <w:color w:val="000000"/>
              </w:rPr>
            </w:r>
          </w:p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</w:tr>
      <w:tr>
        <w:tblPrEx/>
        <w:trPr>
          <w:trHeight w:val="7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10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Модернизация сахарных заводов Русагро в Белгородской области для увеличения объемов производства*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2022 - 2027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4265,0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4265,0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</w:tr>
      <w:tr>
        <w:tblPrEx/>
        <w:trPr>
          <w:trHeight w:val="42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11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Модернизация сахарных заводов*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2024-2028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8876,0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8876,0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</w:tr>
      <w:tr>
        <w:tblPrEx/>
        <w:trPr>
          <w:trHeight w:val="7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12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</w:r>
            <w:r>
              <w:rPr>
                <w:lang w:eastAsia="en-US"/>
              </w:rPr>
              <w:t xml:space="preserve">Устройство системы активной вентиляции кагатов сахарной свеклы (система долгосрочного хранения свеклы)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2024-2025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575,30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575,3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</w:tr>
      <w:tr>
        <w:tblPrEx/>
        <w:trPr>
          <w:trHeight w:val="7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13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highlight w:val="white"/>
                <w14:ligatures w14:val="none"/>
              </w:rPr>
            </w:pPr>
            <w:r>
              <w:rPr>
                <w:highlight w:val="white"/>
                <w:lang w:eastAsia="en-US"/>
              </w:rPr>
              <w:t xml:space="preserve">Обеспечение детей сирот </w:t>
              <w:br/>
              <w:t xml:space="preserve">и детей, оставшихся без попечения родителей, лиц из их числа</w:t>
            </w:r>
            <w:r>
              <w:rPr>
                <w:highlight w:val="white"/>
                <w14:ligatures w14:val="none"/>
              </w:rPr>
            </w:r>
            <w:r>
              <w:rPr>
                <w:highlight w:val="white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2025 - 2030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19,9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19,9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</w:tr>
      <w:tr>
        <w:tblPrEx/>
        <w:trPr>
          <w:trHeight w:val="27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14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highlight w:val="white"/>
                <w14:ligatures w14:val="none"/>
              </w:rPr>
            </w:pPr>
            <w:r>
              <w:rPr>
                <w:highlight w:val="white"/>
                <w:lang w:eastAsia="en-US"/>
              </w:rPr>
              <w:t xml:space="preserve">Реконструкция здания </w:t>
              <w:br/>
              <w:t xml:space="preserve">МБУ "Физкультурно-оздоровительный комплекс"</w:t>
              <w:br/>
              <w:t xml:space="preserve">в п. Чернянка</w:t>
            </w:r>
            <w:r>
              <w:rPr>
                <w:highlight w:val="white"/>
                <w14:ligatures w14:val="none"/>
              </w:rPr>
            </w:r>
            <w:r>
              <w:rPr>
                <w:highlight w:val="white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2025 - 2026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78,7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78,7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</w:tr>
      <w:tr>
        <w:tblPrEx/>
        <w:trPr>
          <w:trHeight w:val="7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15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Строительство тепличного комплекса с технологическим оборудованием на базе КФХ "Шанс"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2021-2025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57,407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57,407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3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</w:tr>
      <w:tr>
        <w:tblPrEx/>
        <w:trPr>
          <w:trHeight w:val="72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16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4110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Приобретение 5 зданий завода мясокомбината СССПоК "Мясные просторы"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559" w:type="dxa"/>
            <w:vMerge w:val="restart"/>
            <w:textDirection w:val="lrTb"/>
            <w:noWrap w:val="false"/>
          </w:tcPr>
          <w:p>
            <w:pPr>
              <w:ind w:right="-1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2021 - 2025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6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  <w14:ligatures w14:val="none"/>
              </w:rPr>
            </w:pPr>
            <w:r>
              <w:rPr>
                <w:lang w:eastAsia="en-US"/>
              </w:rPr>
              <w:t xml:space="preserve">27,0</w:t>
            </w:r>
            <w:r>
              <w:rPr>
                <w:lang w:eastAsia="en-US"/>
                <w14:ligatures w14:val="none"/>
              </w:rPr>
            </w:r>
            <w:r>
              <w:rPr>
                <w:lang w:eastAsia="en-US"/>
                <w14:ligatures w14:val="none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30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50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-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4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27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  <w:tc>
          <w:tcPr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tcW w:w="1143" w:type="dxa"/>
            <w:vMerge w:val="restart"/>
            <w:textDirection w:val="lrTb"/>
            <w:noWrap w:val="false"/>
          </w:tcPr>
          <w:p>
            <w:pPr>
              <w:ind w:right="-1"/>
              <w:jc w:val="center"/>
              <w:tabs>
                <w:tab w:val="left" w:pos="9355" w:leader="none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7</w:t>
            </w:r>
            <w:r>
              <w:rPr>
                <w:lang w:eastAsia="en-US"/>
              </w:rPr>
            </w:r>
            <w:r>
              <w:rPr>
                <w:lang w:eastAsia="en-US"/>
              </w:rPr>
            </w:r>
          </w:p>
        </w:tc>
      </w:tr>
    </w:tbl>
    <w:p>
      <w:pPr>
        <w:ind w:firstLine="709"/>
        <w:jc w:val="right"/>
      </w:pPr>
      <w:r/>
      <w:r/>
    </w:p>
    <w:p>
      <w:pPr>
        <w:ind w:firstLine="709"/>
        <w:jc w:val="right"/>
      </w:pPr>
      <w:r>
        <w:rPr>
          <w:highlight w:val="none"/>
        </w:rPr>
      </w:r>
      <w:r>
        <w:rPr>
          <w:highlight w:val="none"/>
        </w:rPr>
      </w:r>
    </w:p>
    <w:p>
      <w:pPr>
        <w:jc w:val="righ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  <w:r>
        <w:t xml:space="preserve">Приложение 3</w:t>
      </w:r>
      <w:r/>
      <w:r>
        <w:rPr>
          <w:b/>
          <w:color w:val="ff0000"/>
          <w:sz w:val="28"/>
          <w:szCs w:val="28"/>
        </w:rPr>
      </w: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Ресурсное обеспечение реализации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Стратегии социально-экономического развития Чернянского </w:t>
      </w:r>
      <w:r>
        <w:rPr>
          <w:b/>
          <w:sz w:val="28"/>
          <w:szCs w:val="28"/>
        </w:rPr>
        <w:t xml:space="preserve">муниципального округа Белгородской области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</w:r>
    </w:p>
    <w:p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на период до 203</w:t>
      </w:r>
      <w:r>
        <w:rPr>
          <w:b/>
          <w:sz w:val="28"/>
          <w:szCs w:val="28"/>
        </w:rPr>
        <w:t xml:space="preserve">0</w:t>
      </w:r>
      <w:r>
        <w:rPr>
          <w:b/>
          <w:sz w:val="28"/>
          <w:szCs w:val="28"/>
        </w:rPr>
        <w:t xml:space="preserve"> года</w:t>
      </w:r>
      <w:r>
        <w:rPr>
          <w:b/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43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5260"/>
        <w:gridCol w:w="2268"/>
        <w:gridCol w:w="1701"/>
        <w:gridCol w:w="1727"/>
        <w:gridCol w:w="1571"/>
        <w:gridCol w:w="1846"/>
      </w:tblGrid>
      <w:tr>
        <w:tblPrEx/>
        <w:trPr>
          <w:jc w:val="center"/>
          <w:trHeight w:val="403"/>
          <w:tblHeader/>
        </w:trPr>
        <w:tc>
          <w:tcPr>
            <w:shd w:val="clear" w:color="auto" w:fill="auto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Годы реализации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Оценочная стоимость финансирования, тыс. руб.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gridSpan w:val="4"/>
            <w:shd w:val="clear" w:color="auto" w:fill="auto"/>
            <w:tcW w:w="6845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в том числе по источникам финансирования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</w:tr>
      <w:tr>
        <w:tblPrEx/>
        <w:trPr>
          <w:jc w:val="center"/>
          <w:trHeight w:val="625"/>
          <w:tblHeader/>
        </w:trPr>
        <w:tc>
          <w:tcPr>
            <w:tcW w:w="5260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tcW w:w="2268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федеральный бюджет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2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областной бюджет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57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местный бюджет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84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внебюджетные источники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</w:tr>
      <w:tr>
        <w:tblPrEx/>
        <w:trPr>
          <w:trHeight w:val="359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ВСЕГО: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415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2023 год (отчет)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2 423 607,8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128 407,8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1 179 619,7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1 034 765,3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80 815,0</w:t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415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2024 год (отчет)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2 348 264,0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118 378,1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1 027 562,1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117 564,8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84 759,0</w:t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415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2025 год (отчет)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2 498 552,0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154 389,0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1 019 339,8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1 226 383,2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98 440,0</w:t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415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2026 год (прогноз)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3 003 439,6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594 764,9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1 201 241,6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1 107 436,1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99 997,0</w:t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415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2027 </w:t>
            </w:r>
            <w:r>
              <w:rPr>
                <w:color w:val="000000"/>
              </w:rPr>
              <w:t xml:space="preserve">год (прогноз)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2 337 593,8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327 260,8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889 041,0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1 021 295,0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99 997,0</w:t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415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2028 </w:t>
            </w:r>
            <w:r>
              <w:rPr>
                <w:color w:val="000000"/>
              </w:rPr>
              <w:t xml:space="preserve">год (прогноз)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2 218 917,1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209 561,6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910 230,5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999 128,0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99 997,0</w:t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415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2029 </w:t>
            </w:r>
            <w:r>
              <w:rPr>
                <w:color w:val="000000"/>
              </w:rPr>
              <w:t xml:space="preserve">год (прогноз)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2 307 673,8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217 944,0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946 640,0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1 043 092,8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99 997,0</w:t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415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2030 </w:t>
            </w:r>
            <w:r>
              <w:rPr>
                <w:color w:val="000000"/>
              </w:rPr>
              <w:t xml:space="preserve">год (прогноз)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2 399 980,7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226 662,0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984 506,0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1 088 815,7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99 997,0</w:t>
            </w:r>
            <w:r>
              <w:rPr>
                <w:b/>
                <w:color w:val="000000"/>
              </w:rPr>
            </w:r>
          </w:p>
        </w:tc>
      </w:tr>
      <w:tr>
        <w:tblPrEx/>
        <w:trPr>
          <w:trHeight w:val="415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 том числе по направлениям:</w:t>
            </w:r>
            <w:r>
              <w:rPr>
                <w:b/>
                <w:sz w:val="22"/>
                <w:szCs w:val="22"/>
              </w:rPr>
            </w:r>
          </w:p>
        </w:tc>
        <w:tc>
          <w:tcPr>
            <w:gridSpan w:val="5"/>
            <w:shd w:val="clear" w:color="ffffff" w:fill="ffffff"/>
            <w:tcW w:w="911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</w:r>
            <w:r>
              <w:rPr>
                <w:b/>
                <w:color w:val="000000"/>
              </w:rPr>
            </w:r>
          </w:p>
        </w:tc>
      </w:tr>
      <w:tr>
        <w:tblPrEx/>
        <w:trPr>
          <w:jc w:val="center"/>
          <w:trHeight w:val="960"/>
        </w:trPr>
        <w:tc>
          <w:tcPr>
            <w:shd w:val="clear" w:color="auto" w:fill="auto"/>
            <w:tcW w:w="5260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Первое стратегическое направление – «Развитие человеческого капитала Чернянского муниципального округа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, всего</w:t>
            </w:r>
            <w:r>
              <w:rPr>
                <w:b/>
                <w:bCs/>
                <w:color w:val="000000"/>
                <w:sz w:val="22"/>
                <w:szCs w:val="22"/>
              </w:rPr>
            </w:r>
            <w:r>
              <w:rPr>
                <w:b/>
                <w:bCs/>
                <w:color w:val="000000"/>
                <w:sz w:val="22"/>
                <w:szCs w:val="22"/>
              </w:rPr>
            </w:r>
          </w:p>
        </w:tc>
        <w:tc>
          <w:tcPr>
            <w:shd w:val="clear" w:color="auto" w:fill="auto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t xml:space="preserve">9 287 070,75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957002,99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2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3865741,65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57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4103609,10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84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362942,13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</w:tr>
      <w:tr>
        <w:tblPrEx/>
        <w:trPr>
          <w:jc w:val="center"/>
          <w:trHeight w:val="12"/>
        </w:trPr>
        <w:tc>
          <w:tcPr>
            <w:shd w:val="clear" w:color="auto" w:fill="auto"/>
            <w:tcW w:w="5260" w:type="dxa"/>
            <w:vAlign w:val="center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2023 год (отчет)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1 017 915,28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53906,11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727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495469,15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57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434534,59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846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34005,44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auto" w:fill="auto"/>
            <w:tcW w:w="5260" w:type="dxa"/>
            <w:vAlign w:val="center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2024 год (отчет)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1 116 834,36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56314,05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727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488688,82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57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531527,43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846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40304,39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auto" w:fill="auto"/>
            <w:tcW w:w="5260" w:type="dxa"/>
            <w:vAlign w:val="center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2025 год (отчет)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auto" w:fill="auto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1 263 018,04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78033,00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727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515241,94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57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619983,13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846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49759,96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jc w:val="center"/>
          <w:trHeight w:val="330"/>
        </w:trPr>
        <w:tc>
          <w:tcPr>
            <w:shd w:val="clear" w:color="auto" w:fill="auto"/>
            <w:tcW w:w="5260" w:type="dxa"/>
            <w:vAlign w:val="center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2026 год (прогноз)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auto" w:fill="auto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1 555 781,71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308128,64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727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622178,44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57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573684,64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846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51789,99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trHeight w:val="330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2027 </w:t>
            </w:r>
            <w:r>
              <w:rPr>
                <w:color w:val="000000"/>
              </w:rPr>
              <w:t xml:space="preserve">год (прогноз)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1 123 681,34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157313,06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427390,09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490936,65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48041,55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trHeight w:val="330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2028 </w:t>
            </w:r>
            <w:r>
              <w:rPr>
                <w:color w:val="000000"/>
              </w:rPr>
              <w:t xml:space="preserve">год (прогноз)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1 046 885,09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98921,78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429462,97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471361,99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47138,36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trHeight w:val="330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2029 </w:t>
            </w:r>
            <w:r>
              <w:rPr>
                <w:color w:val="000000"/>
              </w:rPr>
              <w:t xml:space="preserve">год (прогноз)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1 071 683,71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101266,53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439636,87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486526,46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46478,63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trHeight w:val="330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2030 </w:t>
            </w:r>
            <w:r>
              <w:rPr>
                <w:color w:val="000000"/>
              </w:rPr>
              <w:t xml:space="preserve">год (прогноз)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1 091 271,22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103119,82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447673,37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495054,21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45423,81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jc w:val="center"/>
          <w:trHeight w:val="491"/>
        </w:trPr>
        <w:tc>
          <w:tcPr>
            <w:shd w:val="clear" w:color="auto" w:fill="auto"/>
            <w:tcW w:w="5260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color w:val="000000"/>
              </w:rPr>
            </w:pPr>
            <w:r>
              <w:rPr>
                <w:b/>
                <w:sz w:val="22"/>
                <w:szCs w:val="22"/>
              </w:rPr>
              <w:t xml:space="preserve">Второе стратегическое направление – «Экономическое и </w:t>
            </w:r>
            <w:r>
              <w:rPr>
                <w:b/>
                <w:sz w:val="22"/>
                <w:szCs w:val="22"/>
              </w:rPr>
              <w:t xml:space="preserve">инновационно</w:t>
            </w:r>
            <w:r>
              <w:rPr>
                <w:b/>
                <w:sz w:val="22"/>
                <w:szCs w:val="22"/>
              </w:rPr>
              <w:t xml:space="preserve">-ориентированное развитие Чернянского муниципального округа</w:t>
            </w:r>
            <w:r>
              <w:rPr>
                <w:rFonts w:eastAsia="Calibri"/>
                <w:b/>
                <w:sz w:val="22"/>
                <w:szCs w:val="22"/>
              </w:rPr>
              <w:t xml:space="preserve">, всего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9 550 087,29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964435,02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2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3990170,56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57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4220695,52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84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374786,20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</w:tr>
      <w:tr>
        <w:tblPrEx/>
        <w:trPr>
          <w:jc w:val="center"/>
          <w:trHeight w:val="390"/>
        </w:trPr>
        <w:tc>
          <w:tcPr>
            <w:shd w:val="clear" w:color="auto" w:fill="auto"/>
            <w:tcW w:w="5260" w:type="dxa"/>
            <w:vAlign w:val="center"/>
            <w:textDirection w:val="lrTb"/>
            <w:noWrap w:val="false"/>
          </w:tcPr>
          <w:p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2023 год (отчет)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1 222 952,5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64816,48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727" w:type="dxa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595210,9818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571" w:type="dxa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522200,72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846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40724,32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jc w:val="center"/>
          <w:trHeight w:val="390"/>
        </w:trPr>
        <w:tc>
          <w:tcPr>
            <w:shd w:val="clear" w:color="auto" w:fill="auto"/>
            <w:tcW w:w="5260" w:type="dxa"/>
            <w:vAlign w:val="center"/>
            <w:textDirection w:val="lrTb"/>
            <w:noWrap w:val="false"/>
          </w:tcPr>
          <w:p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2024 год (отчет)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1 087 246,23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54797,21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727" w:type="dxa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475778,9502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571" w:type="dxa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517420,48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846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39249,59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jc w:val="center"/>
          <w:trHeight w:val="390"/>
        </w:trPr>
        <w:tc>
          <w:tcPr>
            <w:shd w:val="clear" w:color="auto" w:fill="auto"/>
            <w:tcW w:w="5260" w:type="dxa"/>
            <w:vAlign w:val="center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2025 год (отчет)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auto" w:fill="auto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1 103 360,56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68187,68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727" w:type="dxa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450171,1085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571" w:type="dxa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541529,36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846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43472,41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jc w:val="center"/>
          <w:trHeight w:val="390"/>
        </w:trPr>
        <w:tc>
          <w:tcPr>
            <w:shd w:val="clear" w:color="auto" w:fill="auto"/>
            <w:tcW w:w="5260" w:type="dxa"/>
            <w:vAlign w:val="center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2026 год (прогноз)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auto" w:fill="auto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1 389 090,81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01" w:type="dxa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275039,98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727" w:type="dxa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555636,324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571" w:type="dxa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512157,78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846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46256,72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trHeight w:val="390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2027 </w:t>
            </w:r>
            <w:r>
              <w:rPr>
                <w:color w:val="000000"/>
              </w:rPr>
              <w:t xml:space="preserve">год (прогноз)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1 167 394,34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163435,21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443960,0675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510034,59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49964,48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trHeight w:val="390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2028 </w:t>
            </w:r>
            <w:r>
              <w:rPr>
                <w:color w:val="000000"/>
              </w:rPr>
              <w:t xml:space="preserve">год (прогноз)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1 128 097,45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106492,40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462745,574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507982,28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50877,19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trHeight w:val="390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2029 </w:t>
            </w:r>
            <w:r>
              <w:rPr>
                <w:color w:val="000000"/>
              </w:rPr>
              <w:t xml:space="preserve">год (прогноз)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1 191 219,76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112451,15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488638,3456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536406,26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51579,82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trHeight w:val="390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2030 </w:t>
            </w:r>
            <w:r>
              <w:rPr>
                <w:color w:val="000000"/>
              </w:rPr>
              <w:t xml:space="preserve">год (прогноз)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ffffff" w:fill="ffffff"/>
            <w:tcW w:w="2268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1 262 869,84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119214,91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518029,2084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572964,05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52661,67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jc w:val="center"/>
          <w:trHeight w:val="353"/>
        </w:trPr>
        <w:tc>
          <w:tcPr>
            <w:shd w:val="clear" w:color="auto" w:fill="auto"/>
            <w:tcW w:w="5260" w:type="dxa"/>
            <w:vAlign w:val="center"/>
            <w:textDirection w:val="lrTb"/>
            <w:noWrap w:val="false"/>
          </w:tcPr>
          <w:p>
            <w:pPr>
              <w:jc w:val="left"/>
              <w:rPr>
                <w:b/>
                <w:bCs/>
                <w:color w:val="000000"/>
              </w:rPr>
            </w:pPr>
            <w:r>
              <w:rPr>
                <w:b/>
                <w:sz w:val="22"/>
                <w:szCs w:val="22"/>
              </w:rPr>
              <w:t xml:space="preserve">Третье стратегическое направление – «Повышение качества условий жизнедеятельности населения»</w:t>
            </w:r>
            <w:r>
              <w:rPr>
                <w:rFonts w:eastAsia="Calibri"/>
                <w:b/>
                <w:sz w:val="22"/>
                <w:szCs w:val="22"/>
              </w:rPr>
              <w:t xml:space="preserve">, всего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2268" w:type="dxa"/>
            <w:vAlign w:val="bottom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698 645,97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55930,20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27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302268,81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571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314176,28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846" w:type="dxa"/>
            <w:vAlign w:val="center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26270,67</w: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</w:r>
          </w:p>
        </w:tc>
      </w:tr>
      <w:tr>
        <w:tblPrEx/>
        <w:trPr>
          <w:jc w:val="center"/>
          <w:trHeight w:val="390"/>
        </w:trPr>
        <w:tc>
          <w:tcPr>
            <w:shd w:val="clear" w:color="auto" w:fill="auto"/>
            <w:tcW w:w="5260" w:type="dxa"/>
            <w:vAlign w:val="center"/>
            <w:textDirection w:val="lrTb"/>
            <w:noWrap w:val="false"/>
          </w:tcPr>
          <w:p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2023 год (отчет)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2268" w:type="dxa"/>
            <w:vAlign w:val="bottom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182 740,02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9685,22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727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88939,57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57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78029,99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846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6085,24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jc w:val="center"/>
          <w:trHeight w:val="390"/>
        </w:trPr>
        <w:tc>
          <w:tcPr>
            <w:shd w:val="clear" w:color="auto" w:fill="auto"/>
            <w:tcW w:w="5260" w:type="dxa"/>
            <w:vAlign w:val="center"/>
            <w:textDirection w:val="lrTb"/>
            <w:noWrap w:val="false"/>
          </w:tcPr>
          <w:p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2024 год (отчет)</w:t>
            </w:r>
            <w:r>
              <w:rPr>
                <w:color w:val="000000"/>
              </w:rPr>
            </w:r>
            <w:r>
              <w:rPr>
                <w:color w:val="000000"/>
              </w:rPr>
            </w:r>
          </w:p>
        </w:tc>
        <w:tc>
          <w:tcPr>
            <w:shd w:val="clear" w:color="auto" w:fill="auto"/>
            <w:tcW w:w="2268" w:type="dxa"/>
            <w:vAlign w:val="bottom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144 183,41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7266,84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727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63094,66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57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68616,88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846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5205,02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jc w:val="center"/>
          <w:trHeight w:val="390"/>
        </w:trPr>
        <w:tc>
          <w:tcPr>
            <w:shd w:val="clear" w:color="auto" w:fill="auto"/>
            <w:tcW w:w="5260" w:type="dxa"/>
            <w:vAlign w:val="center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2025 год (отчет)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auto" w:fill="auto"/>
            <w:tcW w:w="2268" w:type="dxa"/>
            <w:vAlign w:val="bottom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132 173,40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8168,32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727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53926,75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57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64870,70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846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5207,6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jc w:val="center"/>
          <w:trHeight w:val="390"/>
        </w:trPr>
        <w:tc>
          <w:tcPr>
            <w:shd w:val="clear" w:color="auto" w:fill="auto"/>
            <w:tcW w:w="5260" w:type="dxa"/>
            <w:vAlign w:val="center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2026 год (прогноз)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auto" w:fill="auto"/>
            <w:tcW w:w="2268" w:type="dxa"/>
            <w:vAlign w:val="bottom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58 567,08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auto" w:fill="auto"/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11596,28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727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23427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571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21593,68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auto" w:fill="auto"/>
            <w:tcW w:w="1846" w:type="dxa"/>
            <w:vAlign w:val="center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1950,28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trHeight w:val="390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2027 </w:t>
            </w:r>
            <w:r>
              <w:rPr>
                <w:color w:val="000000"/>
              </w:rPr>
              <w:t xml:space="preserve">год (прогноз)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ffffff" w:fill="ffffff"/>
            <w:tcW w:w="2268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46 518,12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6512,54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17690,84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20323,767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1990,98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trHeight w:val="390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2028 </w:t>
            </w:r>
            <w:r>
              <w:rPr>
                <w:color w:val="000000"/>
              </w:rPr>
              <w:t xml:space="preserve">год (прогноз)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ffffff" w:fill="ffffff"/>
            <w:tcW w:w="2268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43 934,56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4147,42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18022,0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19783,732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1981,45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trHeight w:val="390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2029 </w:t>
            </w:r>
            <w:r>
              <w:rPr>
                <w:color w:val="000000"/>
              </w:rPr>
              <w:t xml:space="preserve">год (прогноз)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ffffff" w:fill="ffffff"/>
            <w:tcW w:w="2268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44 770,33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4226,32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18364,79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20160,08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1938,56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  <w:tr>
        <w:tblPrEx/>
        <w:trPr>
          <w:trHeight w:val="390"/>
        </w:trPr>
        <w:tc>
          <w:tcPr>
            <w:shd w:val="clear" w:color="ffffff" w:fill="ffffff"/>
            <w:tcW w:w="5260" w:type="dxa"/>
            <w:vAlign w:val="center"/>
            <w:vMerge w:val="restart"/>
            <w:textDirection w:val="lrTb"/>
            <w:noWrap w:val="false"/>
          </w:tcPr>
          <w:p>
            <w:pPr>
              <w:jc w:val="left"/>
              <w:rPr>
                <w:color w:val="000000"/>
                <w14:ligatures w14:val="none"/>
              </w:rPr>
            </w:pPr>
            <w:r>
              <w:rPr>
                <w:color w:val="000000"/>
              </w:rPr>
              <w:t xml:space="preserve">2030 </w:t>
            </w:r>
            <w:r>
              <w:rPr>
                <w:color w:val="000000"/>
              </w:rPr>
              <w:t xml:space="preserve">год (прогноз)</w:t>
            </w:r>
            <w:r>
              <w:rPr>
                <w:color w:val="000000"/>
                <w14:ligatures w14:val="none"/>
              </w:rPr>
            </w:r>
            <w:r>
              <w:rPr>
                <w:color w:val="000000"/>
                <w14:ligatures w14:val="none"/>
              </w:rPr>
            </w:r>
          </w:p>
        </w:tc>
        <w:tc>
          <w:tcPr>
            <w:shd w:val="clear" w:color="ffffff" w:fill="ffffff"/>
            <w:tcW w:w="2268" w:type="dxa"/>
            <w:vAlign w:val="bottom"/>
            <w:vMerge w:val="restart"/>
            <w:textDirection w:val="lrTb"/>
            <w:noWrap w:val="false"/>
          </w:tcPr>
          <w:p>
            <w:pPr>
              <w:jc w:val="center"/>
              <w:rPr>
                <w:b/>
                <w:bCs/>
                <w:color w:val="000000"/>
                <w14:ligatures w14:val="none"/>
              </w:rPr>
            </w:pPr>
            <w:r>
              <w:rPr>
                <w:b/>
                <w:bCs/>
                <w:color w:val="000000"/>
              </w:rPr>
              <w:t xml:space="preserve">45 839,64</w:t>
            </w:r>
            <w:r>
              <w:rPr>
                <w:b/>
                <w:bCs/>
                <w:color w:val="000000"/>
              </w:rPr>
            </w:r>
          </w:p>
        </w:tc>
        <w:tc>
          <w:tcPr>
            <w:shd w:val="clear" w:color="ffffff" w:fill="ffffff"/>
            <w:tcW w:w="170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4327,26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72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18803,42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57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20797,445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  <w:tc>
          <w:tcPr>
            <w:shd w:val="clear" w:color="ffffff" w:fill="ffffff"/>
            <w:tcW w:w="184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b w:val="0"/>
                <w:bCs w:val="0"/>
                <w:color w:val="000000"/>
                <w14:ligatures w14:val="none"/>
              </w:rPr>
            </w:pPr>
            <w:r>
              <w:rPr>
                <w:b w:val="0"/>
                <w:bCs w:val="0"/>
                <w:color w:val="000000"/>
              </w:rPr>
              <w:t xml:space="preserve">1911,51</w:t>
            </w:r>
            <w:r>
              <w:rPr>
                <w:b w:val="0"/>
                <w:bCs w:val="0"/>
                <w:color w:val="000000"/>
              </w:rPr>
            </w:r>
            <w:r>
              <w:rPr>
                <w:b w:val="0"/>
                <w:bCs w:val="0"/>
                <w:color w:val="000000"/>
              </w:rPr>
            </w:r>
          </w:p>
        </w:tc>
      </w:tr>
    </w:tbl>
    <w:p>
      <w:pPr>
        <w:jc w:val="both"/>
      </w:pPr>
      <w:r/>
      <w:r>
        <w:rPr>
          <w:sz w:val="28"/>
          <w:szCs w:val="28"/>
        </w:rPr>
        <w:t xml:space="preserve">        </w:t>
      </w:r>
      <w:r/>
    </w:p>
    <w:sectPr>
      <w:footnotePr/>
      <w:endnotePr/>
      <w:type w:val="nextPage"/>
      <w:pgSz w:w="16838" w:h="11906" w:orient="landscape"/>
      <w:pgMar w:top="993" w:right="851" w:bottom="567" w:left="851" w:header="397" w:footer="0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nos">
    <w:panose1 w:val="02020603050405020304"/>
  </w:font>
  <w:font w:name="Symbol">
    <w:panose1 w:val="05010000000000000000"/>
  </w:font>
  <w:font w:name="Times New Roman">
    <w:panose1 w:val="02020603050405020304"/>
  </w:font>
  <w:font w:name="Calibri">
    <w:panose1 w:val="020F0502020204030204"/>
  </w:font>
  <w:font w:name="Wingdings">
    <w:panose1 w:val="05010000000000000000"/>
  </w:font>
  <w:font w:name="Courier New">
    <w:panose1 w:val="02070409020205020404"/>
  </w:font>
  <w:font w:name="MS Mincho">
    <w:panose1 w:val="02020606060505090204"/>
  </w:font>
  <w:font w:name="Tahoma">
    <w:panose1 w:val="020B0604030504040204"/>
  </w:font>
  <w:font w:name="Times New Roman Cyr">
    <w:panose1 w:val="02000603000000000000"/>
  </w:font>
  <w:font w:name="Verdana">
    <w:panose1 w:val="020B060403050404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6"/>
      <w:jc w:val="right"/>
    </w:pPr>
    <w:r/>
    <w:r/>
  </w:p>
  <w:p>
    <w:pPr>
      <w:pStyle w:val="1036"/>
      <w:tabs>
        <w:tab w:val="clear" w:pos="4677" w:leader="none"/>
        <w:tab w:val="left" w:pos="5490" w:leader="none"/>
        <w:tab w:val="clear" w:pos="9355" w:leader="none"/>
      </w:tabs>
    </w:pPr>
    <w:r>
      <w:tab/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6"/>
      <w:rPr>
        <w:rStyle w:val="1040"/>
      </w:rPr>
      <w:framePr w:wrap="around" w:vAnchor="text" w:hAnchor="margin" w:xAlign="center" w:y="1"/>
    </w:pPr>
    <w:r>
      <w:rPr>
        <w:rStyle w:val="1040"/>
      </w:rPr>
      <w:fldChar w:fldCharType="begin"/>
    </w:r>
    <w:r>
      <w:rPr>
        <w:rStyle w:val="1040"/>
      </w:rPr>
      <w:instrText xml:space="preserve">PAGE  </w:instrText>
    </w:r>
    <w:r>
      <w:rPr>
        <w:rStyle w:val="1040"/>
      </w:rPr>
      <w:fldChar w:fldCharType="end"/>
    </w:r>
    <w:r>
      <w:rPr>
        <w:rStyle w:val="1040"/>
      </w:rPr>
    </w:r>
    <w:r>
      <w:rPr>
        <w:rStyle w:val="1040"/>
      </w:rPr>
    </w:r>
  </w:p>
  <w:p>
    <w:pPr>
      <w:pStyle w:val="1036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6"/>
      <w:jc w:val="right"/>
    </w:pPr>
    <w:r/>
    <w:r/>
  </w:p>
  <w:p>
    <w:pPr>
      <w:pStyle w:val="103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4"/>
      <w:jc w:val="center"/>
    </w:pPr>
    <w:fldSimple w:instr="PAGE \* MERGEFORMAT">
      <w:r>
        <w:t xml:space="preserve">1</w:t>
      </w:r>
    </w:fldSimple>
    <w:r/>
    <w:r/>
  </w:p>
  <w:p>
    <w:pPr>
      <w:pStyle w:val="1034"/>
    </w:pP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4"/>
      <w:rPr>
        <w:rStyle w:val="1040"/>
      </w:rPr>
      <w:framePr w:wrap="around" w:vAnchor="text" w:hAnchor="margin" w:xAlign="right" w:y="1"/>
    </w:pPr>
    <w:r>
      <w:rPr>
        <w:rStyle w:val="1040"/>
      </w:rPr>
      <w:fldChar w:fldCharType="begin"/>
    </w:r>
    <w:r>
      <w:rPr>
        <w:rStyle w:val="1040"/>
      </w:rPr>
      <w:instrText xml:space="preserve">PAGE  </w:instrText>
    </w:r>
    <w:r>
      <w:rPr>
        <w:rStyle w:val="1040"/>
      </w:rPr>
      <w:fldChar w:fldCharType="end"/>
    </w:r>
    <w:r>
      <w:rPr>
        <w:rStyle w:val="1040"/>
      </w:rPr>
    </w:r>
    <w:r>
      <w:rPr>
        <w:rStyle w:val="1040"/>
      </w:rPr>
    </w:r>
  </w:p>
  <w:p>
    <w:pPr>
      <w:pStyle w:val="1034"/>
      <w:ind w:right="360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4"/>
      <w:jc w:val="center"/>
    </w:pPr>
    <w:r/>
    <w:r/>
  </w:p>
  <w:p>
    <w:pPr>
      <w:pStyle w:val="1034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50</w:t>
    </w:r>
    <w:r>
      <w:fldChar w:fldCharType="end"/>
    </w:r>
    <w:r/>
  </w:p>
  <w:p>
    <w:pPr>
      <w:pStyle w:val="1034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4"/>
      <w:jc w:val="center"/>
    </w:pPr>
    <w:fldSimple w:instr="PAGE \* MERGEFORMAT">
      <w:r>
        <w:t xml:space="preserve">1</w:t>
      </w:r>
    </w:fldSimple>
    <w:r/>
    <w:r/>
  </w:p>
  <w:p>
    <w:pPr>
      <w:pStyle w:val="1034"/>
    </w:pPr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3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 xml:space="preserve">138</w:t>
    </w:r>
    <w:r>
      <w:fldChar w:fldCharType="end"/>
    </w:r>
    <w:r/>
  </w:p>
  <w:p>
    <w:pPr>
      <w:pStyle w:val="103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  <w:tabs>
          <w:tab w:val="num" w:pos="450" w:leader="none"/>
        </w:tabs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428" w:hanging="720"/>
        <w:tabs>
          <w:tab w:val="num" w:pos="1428" w:leader="none"/>
        </w:tabs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36" w:hanging="720"/>
        <w:tabs>
          <w:tab w:val="num" w:pos="2136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04" w:hanging="1080"/>
        <w:tabs>
          <w:tab w:val="num" w:pos="3204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12" w:hanging="1080"/>
        <w:tabs>
          <w:tab w:val="num" w:pos="3912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980" w:hanging="1440"/>
        <w:tabs>
          <w:tab w:val="num" w:pos="498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5688" w:hanging="1440"/>
        <w:tabs>
          <w:tab w:val="num" w:pos="5688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756" w:hanging="1800"/>
        <w:tabs>
          <w:tab w:val="num" w:pos="6756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464" w:hanging="1800"/>
        <w:tabs>
          <w:tab w:val="num" w:pos="7464" w:leader="none"/>
        </w:tabs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  <w:tabs>
          <w:tab w:val="num" w:pos="1428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8" w:hanging="360"/>
        <w:tabs>
          <w:tab w:val="num" w:pos="2148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8" w:hanging="180"/>
        <w:tabs>
          <w:tab w:val="num" w:pos="2868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8" w:hanging="360"/>
        <w:tabs>
          <w:tab w:val="num" w:pos="3588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8" w:hanging="360"/>
        <w:tabs>
          <w:tab w:val="num" w:pos="4308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8" w:hanging="180"/>
        <w:tabs>
          <w:tab w:val="num" w:pos="5028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8" w:hanging="360"/>
        <w:tabs>
          <w:tab w:val="num" w:pos="5748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8" w:hanging="360"/>
        <w:tabs>
          <w:tab w:val="num" w:pos="6468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8" w:hanging="180"/>
        <w:tabs>
          <w:tab w:val="num" w:pos="7188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isLgl w:val="false"/>
      <w:suff w:val="tab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isLgl w:val="false"/>
      <w:suff w:val="tab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720" w:hanging="360"/>
        <w:tabs>
          <w:tab w:val="num" w:pos="720" w:leader="none"/>
        </w:tabs>
      </w:pPr>
      <w:rPr>
        <w:rFonts w:hAnsi="Courier New"/>
      </w:rPr>
    </w:lvl>
    <w:lvl w:ilvl="1">
      <w:start w:val="1"/>
      <w:numFmt w:val="decimal"/>
      <w:isLgl w:val="false"/>
      <w:suff w:val="tab"/>
      <w:lvlText w:val="%2."/>
      <w:lvlJc w:val="left"/>
      <w:pPr>
        <w:ind w:left="360" w:hanging="360"/>
        <w:tabs>
          <w:tab w:val="num" w:pos="36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119" w:hanging="141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935" w:hanging="1215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946" w:hanging="1215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957" w:hanging="1215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968" w:hanging="1215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080" w:hanging="360"/>
        <w:tabs>
          <w:tab w:val="num" w:pos="1080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1411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131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51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71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1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11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31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1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71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9" w:hanging="360"/>
        <w:tabs>
          <w:tab w:val="num" w:pos="789" w:leader="none"/>
        </w:tabs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8" w:hanging="360"/>
        <w:tabs>
          <w:tab w:val="num" w:pos="1428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48" w:hanging="360"/>
        <w:tabs>
          <w:tab w:val="num" w:pos="2148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68" w:hanging="180"/>
        <w:tabs>
          <w:tab w:val="num" w:pos="2868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88" w:hanging="360"/>
        <w:tabs>
          <w:tab w:val="num" w:pos="3588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308" w:hanging="360"/>
        <w:tabs>
          <w:tab w:val="num" w:pos="4308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28" w:hanging="180"/>
        <w:tabs>
          <w:tab w:val="num" w:pos="5028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48" w:hanging="360"/>
        <w:tabs>
          <w:tab w:val="num" w:pos="5748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68" w:hanging="360"/>
        <w:tabs>
          <w:tab w:val="num" w:pos="6468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88" w:hanging="180"/>
        <w:tabs>
          <w:tab w:val="num" w:pos="7188" w:leader="none"/>
        </w:tabs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  <w:rPr>
        <w:rFonts w:hint="default"/>
      </w:rPr>
    </w:lvl>
    <w:lvl w:ilvl="1">
      <w:start w:val="2"/>
      <w:numFmt w:val="decimal"/>
      <w:isLgl/>
      <w:suff w:val="tab"/>
      <w:lvlText w:val="%1.%2."/>
      <w:lvlJc w:val="left"/>
      <w:pPr>
        <w:ind w:left="1636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636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996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996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356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716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716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3076" w:hanging="21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76" w:hanging="360"/>
      </w:pPr>
      <w:rPr>
        <w:rFonts w:hint="default"/>
      </w:rPr>
    </w:lvl>
    <w:lvl w:ilvl="1">
      <w:start w:val="2"/>
      <w:numFmt w:val="decimal"/>
      <w:isLgl/>
      <w:suff w:val="tab"/>
      <w:lvlText w:val="%1.%2."/>
      <w:lvlJc w:val="left"/>
      <w:pPr>
        <w:ind w:left="1636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636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996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996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356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716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716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3076" w:hanging="2160"/>
      </w:pPr>
      <w:rPr>
        <w:rFonts w:hint="default"/>
      </w:rPr>
    </w:lvl>
  </w:abstractNum>
  <w:num w:numId="1">
    <w:abstractNumId w:val="7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6"/>
  </w:num>
  <w:num w:numId="10">
    <w:abstractNumId w:val="8"/>
  </w:num>
  <w:num w:numId="11">
    <w:abstractNumId w:val="10"/>
  </w:num>
  <w:num w:numId="12">
    <w:abstractNumId w:val="5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42">
    <w:name w:val="Heading 1 Char"/>
    <w:basedOn w:val="1013"/>
    <w:link w:val="1004"/>
    <w:uiPriority w:val="9"/>
    <w:rPr>
      <w:rFonts w:ascii="Arial" w:hAnsi="Arial" w:eastAsia="Arial" w:cs="Arial"/>
      <w:sz w:val="40"/>
      <w:szCs w:val="40"/>
    </w:rPr>
  </w:style>
  <w:style w:type="character" w:styleId="843">
    <w:name w:val="Heading 2 Char"/>
    <w:basedOn w:val="1013"/>
    <w:link w:val="1005"/>
    <w:uiPriority w:val="9"/>
    <w:rPr>
      <w:rFonts w:ascii="Arial" w:hAnsi="Arial" w:eastAsia="Arial" w:cs="Arial"/>
      <w:sz w:val="34"/>
    </w:rPr>
  </w:style>
  <w:style w:type="character" w:styleId="844">
    <w:name w:val="Heading 3 Char"/>
    <w:basedOn w:val="1013"/>
    <w:link w:val="1006"/>
    <w:uiPriority w:val="9"/>
    <w:rPr>
      <w:rFonts w:ascii="Arial" w:hAnsi="Arial" w:eastAsia="Arial" w:cs="Arial"/>
      <w:sz w:val="30"/>
      <w:szCs w:val="30"/>
    </w:rPr>
  </w:style>
  <w:style w:type="character" w:styleId="845">
    <w:name w:val="Heading 4 Char"/>
    <w:basedOn w:val="1013"/>
    <w:link w:val="1007"/>
    <w:uiPriority w:val="9"/>
    <w:rPr>
      <w:rFonts w:ascii="Arial" w:hAnsi="Arial" w:eastAsia="Arial" w:cs="Arial"/>
      <w:b/>
      <w:bCs/>
      <w:sz w:val="26"/>
      <w:szCs w:val="26"/>
    </w:rPr>
  </w:style>
  <w:style w:type="character" w:styleId="846">
    <w:name w:val="Heading 5 Char"/>
    <w:basedOn w:val="1013"/>
    <w:link w:val="1008"/>
    <w:uiPriority w:val="9"/>
    <w:rPr>
      <w:rFonts w:ascii="Arial" w:hAnsi="Arial" w:eastAsia="Arial" w:cs="Arial"/>
      <w:b/>
      <w:bCs/>
      <w:sz w:val="24"/>
      <w:szCs w:val="24"/>
    </w:rPr>
  </w:style>
  <w:style w:type="character" w:styleId="847">
    <w:name w:val="Heading 6 Char"/>
    <w:basedOn w:val="1013"/>
    <w:link w:val="1009"/>
    <w:uiPriority w:val="9"/>
    <w:rPr>
      <w:rFonts w:ascii="Arial" w:hAnsi="Arial" w:eastAsia="Arial" w:cs="Arial"/>
      <w:b/>
      <w:bCs/>
      <w:sz w:val="22"/>
      <w:szCs w:val="22"/>
    </w:rPr>
  </w:style>
  <w:style w:type="character" w:styleId="848">
    <w:name w:val="Heading 7 Char"/>
    <w:basedOn w:val="1013"/>
    <w:link w:val="101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49">
    <w:name w:val="Heading 8 Char"/>
    <w:basedOn w:val="1013"/>
    <w:link w:val="1011"/>
    <w:uiPriority w:val="9"/>
    <w:rPr>
      <w:rFonts w:ascii="Arial" w:hAnsi="Arial" w:eastAsia="Arial" w:cs="Arial"/>
      <w:i/>
      <w:iCs/>
      <w:sz w:val="22"/>
      <w:szCs w:val="22"/>
    </w:rPr>
  </w:style>
  <w:style w:type="character" w:styleId="850">
    <w:name w:val="Heading 9 Char"/>
    <w:basedOn w:val="1013"/>
    <w:link w:val="1012"/>
    <w:uiPriority w:val="9"/>
    <w:rPr>
      <w:rFonts w:ascii="Arial" w:hAnsi="Arial" w:eastAsia="Arial" w:cs="Arial"/>
      <w:i/>
      <w:iCs/>
      <w:sz w:val="21"/>
      <w:szCs w:val="21"/>
    </w:rPr>
  </w:style>
  <w:style w:type="paragraph" w:styleId="851">
    <w:name w:val="Title"/>
    <w:basedOn w:val="1003"/>
    <w:next w:val="1003"/>
    <w:link w:val="85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52">
    <w:name w:val="Title Char"/>
    <w:basedOn w:val="1013"/>
    <w:link w:val="851"/>
    <w:uiPriority w:val="10"/>
    <w:rPr>
      <w:sz w:val="48"/>
      <w:szCs w:val="48"/>
    </w:rPr>
  </w:style>
  <w:style w:type="paragraph" w:styleId="853">
    <w:name w:val="Subtitle"/>
    <w:basedOn w:val="1003"/>
    <w:next w:val="1003"/>
    <w:link w:val="854"/>
    <w:uiPriority w:val="11"/>
    <w:qFormat/>
    <w:pPr>
      <w:spacing w:before="200" w:after="200"/>
    </w:pPr>
    <w:rPr>
      <w:sz w:val="24"/>
      <w:szCs w:val="24"/>
    </w:rPr>
  </w:style>
  <w:style w:type="character" w:styleId="854">
    <w:name w:val="Subtitle Char"/>
    <w:basedOn w:val="1013"/>
    <w:link w:val="853"/>
    <w:uiPriority w:val="11"/>
    <w:rPr>
      <w:sz w:val="24"/>
      <w:szCs w:val="24"/>
    </w:rPr>
  </w:style>
  <w:style w:type="paragraph" w:styleId="855">
    <w:name w:val="Quote"/>
    <w:basedOn w:val="1003"/>
    <w:next w:val="1003"/>
    <w:link w:val="856"/>
    <w:uiPriority w:val="29"/>
    <w:qFormat/>
    <w:pPr>
      <w:ind w:left="720" w:right="720"/>
    </w:pPr>
    <w:rPr>
      <w:i/>
    </w:rPr>
  </w:style>
  <w:style w:type="character" w:styleId="856">
    <w:name w:val="Quote Char"/>
    <w:link w:val="855"/>
    <w:uiPriority w:val="29"/>
    <w:rPr>
      <w:i/>
    </w:rPr>
  </w:style>
  <w:style w:type="paragraph" w:styleId="857">
    <w:name w:val="Intense Quote"/>
    <w:basedOn w:val="1003"/>
    <w:next w:val="1003"/>
    <w:link w:val="858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58">
    <w:name w:val="Intense Quote Char"/>
    <w:link w:val="857"/>
    <w:uiPriority w:val="30"/>
    <w:rPr>
      <w:i/>
    </w:rPr>
  </w:style>
  <w:style w:type="character" w:styleId="859">
    <w:name w:val="Header Char"/>
    <w:basedOn w:val="1013"/>
    <w:link w:val="1034"/>
    <w:uiPriority w:val="99"/>
  </w:style>
  <w:style w:type="character" w:styleId="860">
    <w:name w:val="Footer Char"/>
    <w:basedOn w:val="1013"/>
    <w:link w:val="1036"/>
    <w:uiPriority w:val="99"/>
  </w:style>
  <w:style w:type="paragraph" w:styleId="861">
    <w:name w:val="Caption"/>
    <w:basedOn w:val="1003"/>
    <w:next w:val="1003"/>
    <w:link w:val="86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62">
    <w:name w:val="Caption Char"/>
    <w:basedOn w:val="1013"/>
    <w:link w:val="861"/>
    <w:uiPriority w:val="35"/>
    <w:rPr>
      <w:b/>
      <w:bCs/>
      <w:color w:val="4f81bd" w:themeColor="accent1"/>
      <w:sz w:val="18"/>
      <w:szCs w:val="18"/>
    </w:rPr>
  </w:style>
  <w:style w:type="table" w:styleId="863">
    <w:name w:val="Table Grid Light"/>
    <w:basedOn w:val="101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64">
    <w:name w:val="Plain Table 1"/>
    <w:basedOn w:val="101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5">
    <w:name w:val="Plain Table 2"/>
    <w:basedOn w:val="101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6">
    <w:name w:val="Plain Table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67">
    <w:name w:val="Plain Table 4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>
    <w:name w:val="Plain Table 5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69">
    <w:name w:val="Grid Table 1 Light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0">
    <w:name w:val="Grid Table 1 Light - Accent 1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Grid Table 1 Light - Accent 2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Grid Table 1 Light - Accent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Grid Table 1 Light - Accent 4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>
    <w:name w:val="Grid Table 1 Light - Accent 5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>
    <w:name w:val="Grid Table 1 Light - Accent 6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6">
    <w:name w:val="Grid Table 2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7">
    <w:name w:val="Grid Table 2 - Accent 1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2 - Accent 2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Grid Table 2 - Accent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Grid Table 2 - Accent 4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2 - Accent 5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Grid Table 2 - Accent 6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Grid Table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Grid Table 3 - Accent 1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Grid Table 3 - Accent 2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Grid Table 3 - Accent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>
    <w:name w:val="Grid Table 3 - Accent 4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Grid Table 3 - Accent 5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Grid Table 3 - Accent 6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>
    <w:name w:val="Grid Table 4"/>
    <w:basedOn w:val="10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91">
    <w:name w:val="Grid Table 4 - Accent 1"/>
    <w:basedOn w:val="10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92">
    <w:name w:val="Grid Table 4 - Accent 2"/>
    <w:basedOn w:val="10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93">
    <w:name w:val="Grid Table 4 - Accent 3"/>
    <w:basedOn w:val="10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94">
    <w:name w:val="Grid Table 4 - Accent 4"/>
    <w:basedOn w:val="10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95">
    <w:name w:val="Grid Table 4 - Accent 5"/>
    <w:basedOn w:val="10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96">
    <w:name w:val="Grid Table 4 - Accent 6"/>
    <w:basedOn w:val="101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97">
    <w:name w:val="Grid Table 5 Dark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98">
    <w:name w:val="Grid Table 5 Dark- Accent 1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99">
    <w:name w:val="Grid Table 5 Dark - Accent 2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00">
    <w:name w:val="Grid Table 5 Dark - Accent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01">
    <w:name w:val="Grid Table 5 Dark- Accent 4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02">
    <w:name w:val="Grid Table 5 Dark - Accent 5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3">
    <w:name w:val="Grid Table 5 Dark - Accent 6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4">
    <w:name w:val="Grid Table 6 Colorful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5">
    <w:name w:val="Grid Table 6 Colorful - Accent 1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6">
    <w:name w:val="Grid Table 6 Colorful - Accent 2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07">
    <w:name w:val="Grid Table 6 Colorful - Accent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08">
    <w:name w:val="Grid Table 6 Colorful - Accent 4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09">
    <w:name w:val="Grid Table 6 Colorful - Accent 5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10">
    <w:name w:val="Grid Table 6 Colorful - Accent 6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11">
    <w:name w:val="Grid Table 7 Colorful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2">
    <w:name w:val="Grid Table 7 Colorful - Accent 1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>
    <w:name w:val="Grid Table 7 Colorful - Accent 2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>
    <w:name w:val="Grid Table 7 Colorful - Accent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>
    <w:name w:val="Grid Table 7 Colorful - Accent 4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>
    <w:name w:val="Grid Table 7 Colorful - Accent 5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>
    <w:name w:val="Grid Table 7 Colorful - Accent 6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>
    <w:name w:val="List Table 1 Light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9">
    <w:name w:val="List Table 1 Light - Accent 1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0">
    <w:name w:val="List Table 1 Light - Accent 2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>
    <w:name w:val="List Table 1 Light - Accent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>
    <w:name w:val="List Table 1 Light - Accent 4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List Table 1 Light - Accent 5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>
    <w:name w:val="List Table 1 Light - Accent 6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>
    <w:name w:val="List Table 2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26">
    <w:name w:val="List Table 2 - Accent 1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27">
    <w:name w:val="List Table 2 - Accent 2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28">
    <w:name w:val="List Table 2 - Accent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29">
    <w:name w:val="List Table 2 - Accent 4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30">
    <w:name w:val="List Table 2 - Accent 5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31">
    <w:name w:val="List Table 2 - Accent 6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32">
    <w:name w:val="List Table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3">
    <w:name w:val="List Table 3 - Accent 1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4">
    <w:name w:val="List Table 3 - Accent 2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5">
    <w:name w:val="List Table 3 - Accent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6">
    <w:name w:val="List Table 3 - Accent 4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7">
    <w:name w:val="List Table 3 - Accent 5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8">
    <w:name w:val="List Table 3 - Accent 6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9">
    <w:name w:val="List Table 4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0">
    <w:name w:val="List Table 4 - Accent 1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1">
    <w:name w:val="List Table 4 - Accent 2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2">
    <w:name w:val="List Table 4 - Accent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3">
    <w:name w:val="List Table 4 - Accent 4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4">
    <w:name w:val="List Table 4 - Accent 5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5">
    <w:name w:val="List Table 4 - Accent 6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6">
    <w:name w:val="List Table 5 Dark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7">
    <w:name w:val="List Table 5 Dark - Accent 1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8">
    <w:name w:val="List Table 5 Dark - Accent 2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9">
    <w:name w:val="List Table 5 Dark - Accent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0">
    <w:name w:val="List Table 5 Dark - Accent 4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1">
    <w:name w:val="List Table 5 Dark - Accent 5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2">
    <w:name w:val="List Table 5 Dark - Accent 6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3">
    <w:name w:val="List Table 6 Colorful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54">
    <w:name w:val="List Table 6 Colorful - Accent 1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55">
    <w:name w:val="List Table 6 Colorful - Accent 2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56">
    <w:name w:val="List Table 6 Colorful - Accent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57">
    <w:name w:val="List Table 6 Colorful - Accent 4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58">
    <w:name w:val="List Table 6 Colorful - Accent 5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59">
    <w:name w:val="List Table 6 Colorful - Accent 6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60">
    <w:name w:val="List Table 7 Colorful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61">
    <w:name w:val="List Table 7 Colorful - Accent 1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62">
    <w:name w:val="List Table 7 Colorful - Accent 2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63">
    <w:name w:val="List Table 7 Colorful - Accent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64">
    <w:name w:val="List Table 7 Colorful - Accent 4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65">
    <w:name w:val="List Table 7 Colorful - Accent 5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66">
    <w:name w:val="List Table 7 Colorful - Accent 6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67">
    <w:name w:val="Lined - Accent"/>
    <w:basedOn w:val="10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68">
    <w:name w:val="Lined - Accent 1"/>
    <w:basedOn w:val="10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69">
    <w:name w:val="Lined - Accent 2"/>
    <w:basedOn w:val="10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70">
    <w:name w:val="Lined - Accent 3"/>
    <w:basedOn w:val="10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71">
    <w:name w:val="Lined - Accent 4"/>
    <w:basedOn w:val="10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72">
    <w:name w:val="Lined - Accent 5"/>
    <w:basedOn w:val="10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73">
    <w:name w:val="Lined - Accent 6"/>
    <w:basedOn w:val="10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74">
    <w:name w:val="Bordered &amp; Lined - Accent"/>
    <w:basedOn w:val="10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75">
    <w:name w:val="Bordered &amp; Lined - Accent 1"/>
    <w:basedOn w:val="10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76">
    <w:name w:val="Bordered &amp; Lined - Accent 2"/>
    <w:basedOn w:val="10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77">
    <w:name w:val="Bordered &amp; Lined - Accent 3"/>
    <w:basedOn w:val="10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78">
    <w:name w:val="Bordered &amp; Lined - Accent 4"/>
    <w:basedOn w:val="10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79">
    <w:name w:val="Bordered &amp; Lined - Accent 5"/>
    <w:basedOn w:val="10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80">
    <w:name w:val="Bordered &amp; Lined - Accent 6"/>
    <w:basedOn w:val="101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81">
    <w:name w:val="Bordered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82">
    <w:name w:val="Bordered - Accent 1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83">
    <w:name w:val="Bordered - Accent 2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84">
    <w:name w:val="Bordered - Accent 3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85">
    <w:name w:val="Bordered - Accent 4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86">
    <w:name w:val="Bordered - Accent 5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87">
    <w:name w:val="Bordered - Accent 6"/>
    <w:basedOn w:val="101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88">
    <w:name w:val="Footnote Text Char"/>
    <w:link w:val="1296"/>
    <w:uiPriority w:val="99"/>
    <w:rPr>
      <w:sz w:val="18"/>
    </w:rPr>
  </w:style>
  <w:style w:type="paragraph" w:styleId="989">
    <w:name w:val="endnote text"/>
    <w:basedOn w:val="1003"/>
    <w:link w:val="990"/>
    <w:uiPriority w:val="99"/>
    <w:semiHidden/>
    <w:unhideWhenUsed/>
    <w:pPr>
      <w:spacing w:after="0" w:line="240" w:lineRule="auto"/>
    </w:pPr>
    <w:rPr>
      <w:sz w:val="20"/>
    </w:rPr>
  </w:style>
  <w:style w:type="character" w:styleId="990">
    <w:name w:val="Endnote Text Char"/>
    <w:link w:val="989"/>
    <w:uiPriority w:val="99"/>
    <w:rPr>
      <w:sz w:val="20"/>
    </w:rPr>
  </w:style>
  <w:style w:type="character" w:styleId="991">
    <w:name w:val="endnote reference"/>
    <w:basedOn w:val="1013"/>
    <w:uiPriority w:val="99"/>
    <w:semiHidden/>
    <w:unhideWhenUsed/>
    <w:rPr>
      <w:vertAlign w:val="superscript"/>
    </w:rPr>
  </w:style>
  <w:style w:type="paragraph" w:styleId="992">
    <w:name w:val="toc 1"/>
    <w:basedOn w:val="1003"/>
    <w:next w:val="1003"/>
    <w:uiPriority w:val="39"/>
    <w:unhideWhenUsed/>
    <w:pPr>
      <w:ind w:left="0" w:right="0" w:firstLine="0"/>
      <w:spacing w:after="57"/>
    </w:pPr>
  </w:style>
  <w:style w:type="paragraph" w:styleId="993">
    <w:name w:val="toc 2"/>
    <w:basedOn w:val="1003"/>
    <w:next w:val="1003"/>
    <w:uiPriority w:val="39"/>
    <w:unhideWhenUsed/>
    <w:pPr>
      <w:ind w:left="283" w:right="0" w:firstLine="0"/>
      <w:spacing w:after="57"/>
    </w:pPr>
  </w:style>
  <w:style w:type="paragraph" w:styleId="994">
    <w:name w:val="toc 3"/>
    <w:basedOn w:val="1003"/>
    <w:next w:val="1003"/>
    <w:uiPriority w:val="39"/>
    <w:unhideWhenUsed/>
    <w:pPr>
      <w:ind w:left="567" w:right="0" w:firstLine="0"/>
      <w:spacing w:after="57"/>
    </w:pPr>
  </w:style>
  <w:style w:type="paragraph" w:styleId="995">
    <w:name w:val="toc 4"/>
    <w:basedOn w:val="1003"/>
    <w:next w:val="1003"/>
    <w:uiPriority w:val="39"/>
    <w:unhideWhenUsed/>
    <w:pPr>
      <w:ind w:left="850" w:right="0" w:firstLine="0"/>
      <w:spacing w:after="57"/>
    </w:pPr>
  </w:style>
  <w:style w:type="paragraph" w:styleId="996">
    <w:name w:val="toc 5"/>
    <w:basedOn w:val="1003"/>
    <w:next w:val="1003"/>
    <w:uiPriority w:val="39"/>
    <w:unhideWhenUsed/>
    <w:pPr>
      <w:ind w:left="1134" w:right="0" w:firstLine="0"/>
      <w:spacing w:after="57"/>
    </w:pPr>
  </w:style>
  <w:style w:type="paragraph" w:styleId="997">
    <w:name w:val="toc 6"/>
    <w:basedOn w:val="1003"/>
    <w:next w:val="1003"/>
    <w:uiPriority w:val="39"/>
    <w:unhideWhenUsed/>
    <w:pPr>
      <w:ind w:left="1417" w:right="0" w:firstLine="0"/>
      <w:spacing w:after="57"/>
    </w:pPr>
  </w:style>
  <w:style w:type="paragraph" w:styleId="998">
    <w:name w:val="toc 7"/>
    <w:basedOn w:val="1003"/>
    <w:next w:val="1003"/>
    <w:uiPriority w:val="39"/>
    <w:unhideWhenUsed/>
    <w:pPr>
      <w:ind w:left="1701" w:right="0" w:firstLine="0"/>
      <w:spacing w:after="57"/>
    </w:pPr>
  </w:style>
  <w:style w:type="paragraph" w:styleId="999">
    <w:name w:val="toc 8"/>
    <w:basedOn w:val="1003"/>
    <w:next w:val="1003"/>
    <w:uiPriority w:val="39"/>
    <w:unhideWhenUsed/>
    <w:pPr>
      <w:ind w:left="1984" w:right="0" w:firstLine="0"/>
      <w:spacing w:after="57"/>
    </w:pPr>
  </w:style>
  <w:style w:type="paragraph" w:styleId="1000">
    <w:name w:val="toc 9"/>
    <w:basedOn w:val="1003"/>
    <w:next w:val="1003"/>
    <w:uiPriority w:val="39"/>
    <w:unhideWhenUsed/>
    <w:pPr>
      <w:ind w:left="2268" w:right="0" w:firstLine="0"/>
      <w:spacing w:after="57"/>
    </w:pPr>
  </w:style>
  <w:style w:type="paragraph" w:styleId="1001">
    <w:name w:val="TOC Heading"/>
    <w:uiPriority w:val="39"/>
    <w:unhideWhenUsed/>
  </w:style>
  <w:style w:type="paragraph" w:styleId="1002">
    <w:name w:val="table of figures"/>
    <w:basedOn w:val="1003"/>
    <w:next w:val="1003"/>
    <w:uiPriority w:val="99"/>
    <w:unhideWhenUsed/>
    <w:pPr>
      <w:spacing w:after="0" w:afterAutospacing="0"/>
    </w:pPr>
  </w:style>
  <w:style w:type="paragraph" w:styleId="1003" w:default="1">
    <w:name w:val="Normal"/>
    <w:qFormat/>
    <w:rPr>
      <w:sz w:val="24"/>
      <w:szCs w:val="24"/>
    </w:rPr>
  </w:style>
  <w:style w:type="paragraph" w:styleId="1004">
    <w:name w:val="Heading 1"/>
    <w:basedOn w:val="1003"/>
    <w:next w:val="1003"/>
    <w:link w:val="1016"/>
    <w:uiPriority w:val="99"/>
    <w:qFormat/>
    <w:pPr>
      <w:ind w:right="-1"/>
      <w:jc w:val="both"/>
      <w:keepNext/>
      <w:outlineLvl w:val="0"/>
    </w:pPr>
    <w:rPr>
      <w:b/>
      <w:sz w:val="28"/>
      <w:szCs w:val="20"/>
    </w:rPr>
  </w:style>
  <w:style w:type="paragraph" w:styleId="1005">
    <w:name w:val="Heading 2"/>
    <w:basedOn w:val="1003"/>
    <w:next w:val="1003"/>
    <w:link w:val="1017"/>
    <w:uiPriority w:val="99"/>
    <w:qFormat/>
    <w:pPr>
      <w:ind w:left="5529"/>
      <w:jc w:val="center"/>
      <w:keepNext/>
      <w:spacing w:line="360" w:lineRule="auto"/>
      <w:tabs>
        <w:tab w:val="left" w:pos="9214" w:leader="none"/>
      </w:tabs>
      <w:outlineLvl w:val="1"/>
    </w:pPr>
    <w:rPr>
      <w:sz w:val="28"/>
      <w:szCs w:val="20"/>
    </w:rPr>
  </w:style>
  <w:style w:type="paragraph" w:styleId="1006">
    <w:name w:val="Heading 3"/>
    <w:basedOn w:val="1003"/>
    <w:next w:val="1003"/>
    <w:link w:val="1018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1007">
    <w:name w:val="Heading 4"/>
    <w:basedOn w:val="1003"/>
    <w:next w:val="1003"/>
    <w:link w:val="1019"/>
    <w:uiPriority w:val="99"/>
    <w:qFormat/>
    <w:pPr>
      <w:numPr>
        <w:ilvl w:val="12"/>
      </w:numPr>
      <w:ind w:firstLine="720"/>
      <w:jc w:val="right"/>
      <w:keepNext/>
      <w:outlineLvl w:val="3"/>
    </w:pPr>
    <w:rPr>
      <w:sz w:val="28"/>
    </w:rPr>
  </w:style>
  <w:style w:type="paragraph" w:styleId="1008">
    <w:name w:val="Heading 5"/>
    <w:basedOn w:val="1003"/>
    <w:next w:val="1003"/>
    <w:link w:val="1020"/>
    <w:uiPriority w:val="99"/>
    <w:qFormat/>
    <w:pPr>
      <w:keepNext/>
      <w:outlineLvl w:val="4"/>
    </w:pPr>
    <w:rPr>
      <w:i/>
    </w:rPr>
  </w:style>
  <w:style w:type="paragraph" w:styleId="1009">
    <w:name w:val="Heading 6"/>
    <w:basedOn w:val="1003"/>
    <w:next w:val="1003"/>
    <w:link w:val="1021"/>
    <w:uiPriority w:val="99"/>
    <w:qFormat/>
    <w:pPr>
      <w:jc w:val="center"/>
      <w:outlineLvl w:val="5"/>
    </w:pPr>
    <w:rPr>
      <w:rFonts w:ascii="Arial" w:hAnsi="Arial"/>
      <w:b/>
    </w:rPr>
  </w:style>
  <w:style w:type="paragraph" w:styleId="1010">
    <w:name w:val="Heading 7"/>
    <w:basedOn w:val="1003"/>
    <w:next w:val="1003"/>
    <w:link w:val="1022"/>
    <w:uiPriority w:val="99"/>
    <w:qFormat/>
    <w:pPr>
      <w:ind w:firstLine="708"/>
      <w:jc w:val="right"/>
      <w:keepNext/>
      <w:outlineLvl w:val="6"/>
    </w:pPr>
    <w:rPr>
      <w:b/>
      <w:sz w:val="26"/>
    </w:rPr>
  </w:style>
  <w:style w:type="paragraph" w:styleId="1011">
    <w:name w:val="Heading 8"/>
    <w:basedOn w:val="1003"/>
    <w:next w:val="1003"/>
    <w:link w:val="1023"/>
    <w:uiPriority w:val="99"/>
    <w:qFormat/>
    <w:pPr>
      <w:ind w:firstLine="708"/>
      <w:jc w:val="center"/>
      <w:keepNext/>
      <w:shd w:val="clear" w:color="auto" w:fill="ffffff"/>
      <w:outlineLvl w:val="7"/>
    </w:pPr>
    <w:rPr>
      <w:i/>
      <w:sz w:val="26"/>
    </w:rPr>
  </w:style>
  <w:style w:type="paragraph" w:styleId="1012">
    <w:name w:val="Heading 9"/>
    <w:basedOn w:val="1003"/>
    <w:next w:val="1003"/>
    <w:link w:val="1024"/>
    <w:uiPriority w:val="99"/>
    <w:qFormat/>
    <w:pPr>
      <w:ind w:firstLine="720"/>
      <w:jc w:val="right"/>
      <w:keepNext/>
      <w:outlineLvl w:val="8"/>
    </w:pPr>
    <w:rPr>
      <w:b/>
      <w:sz w:val="26"/>
    </w:rPr>
  </w:style>
  <w:style w:type="character" w:styleId="1013" w:default="1">
    <w:name w:val="Default Paragraph Font"/>
    <w:uiPriority w:val="1"/>
    <w:semiHidden/>
    <w:unhideWhenUsed/>
  </w:style>
  <w:style w:type="table" w:styleId="101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15" w:default="1">
    <w:name w:val="No List"/>
    <w:uiPriority w:val="99"/>
    <w:semiHidden/>
    <w:unhideWhenUsed/>
  </w:style>
  <w:style w:type="character" w:styleId="1016" w:customStyle="1">
    <w:name w:val="Заголовок 1 Знак"/>
    <w:basedOn w:val="1013"/>
    <w:link w:val="1004"/>
    <w:uiPriority w:val="99"/>
    <w:rPr>
      <w:b/>
      <w:sz w:val="28"/>
    </w:rPr>
  </w:style>
  <w:style w:type="character" w:styleId="1017" w:customStyle="1">
    <w:name w:val="Заголовок 2 Знак"/>
    <w:basedOn w:val="1013"/>
    <w:link w:val="1005"/>
    <w:uiPriority w:val="99"/>
    <w:rPr>
      <w:sz w:val="28"/>
    </w:rPr>
  </w:style>
  <w:style w:type="character" w:styleId="1018" w:customStyle="1">
    <w:name w:val="Заголовок 3 Знак"/>
    <w:basedOn w:val="1013"/>
    <w:link w:val="1006"/>
    <w:uiPriority w:val="99"/>
    <w:rPr>
      <w:rFonts w:ascii="Arial" w:hAnsi="Arial" w:cs="Arial"/>
      <w:b/>
      <w:bCs/>
      <w:sz w:val="26"/>
      <w:szCs w:val="26"/>
    </w:rPr>
  </w:style>
  <w:style w:type="character" w:styleId="1019" w:customStyle="1">
    <w:name w:val="Заголовок 4 Знак"/>
    <w:basedOn w:val="1013"/>
    <w:link w:val="1007"/>
    <w:uiPriority w:val="99"/>
    <w:rPr>
      <w:sz w:val="28"/>
      <w:szCs w:val="24"/>
    </w:rPr>
  </w:style>
  <w:style w:type="character" w:styleId="1020" w:customStyle="1">
    <w:name w:val="Заголовок 5 Знак"/>
    <w:basedOn w:val="1013"/>
    <w:link w:val="1008"/>
    <w:uiPriority w:val="99"/>
    <w:rPr>
      <w:i/>
      <w:sz w:val="24"/>
      <w:szCs w:val="24"/>
    </w:rPr>
  </w:style>
  <w:style w:type="character" w:styleId="1021" w:customStyle="1">
    <w:name w:val="Заголовок 6 Знак"/>
    <w:basedOn w:val="1013"/>
    <w:link w:val="1009"/>
    <w:uiPriority w:val="99"/>
    <w:rPr>
      <w:rFonts w:ascii="Arial" w:hAnsi="Arial"/>
      <w:b/>
      <w:sz w:val="24"/>
      <w:szCs w:val="24"/>
    </w:rPr>
  </w:style>
  <w:style w:type="character" w:styleId="1022" w:customStyle="1">
    <w:name w:val="Заголовок 7 Знак"/>
    <w:basedOn w:val="1013"/>
    <w:link w:val="1010"/>
    <w:uiPriority w:val="99"/>
    <w:rPr>
      <w:b/>
      <w:sz w:val="26"/>
      <w:szCs w:val="24"/>
    </w:rPr>
  </w:style>
  <w:style w:type="character" w:styleId="1023" w:customStyle="1">
    <w:name w:val="Заголовок 8 Знак"/>
    <w:basedOn w:val="1013"/>
    <w:link w:val="1011"/>
    <w:uiPriority w:val="99"/>
    <w:rPr>
      <w:i/>
      <w:sz w:val="26"/>
      <w:szCs w:val="24"/>
      <w:shd w:val="clear" w:color="auto" w:fill="ffffff"/>
    </w:rPr>
  </w:style>
  <w:style w:type="character" w:styleId="1024" w:customStyle="1">
    <w:name w:val="Заголовок 9 Знак"/>
    <w:basedOn w:val="1013"/>
    <w:link w:val="1012"/>
    <w:uiPriority w:val="99"/>
    <w:rPr>
      <w:b/>
      <w:sz w:val="26"/>
      <w:szCs w:val="24"/>
    </w:rPr>
  </w:style>
  <w:style w:type="character" w:styleId="1025">
    <w:name w:val="Hyperlink"/>
    <w:basedOn w:val="1013"/>
    <w:uiPriority w:val="99"/>
    <w:rPr>
      <w:color w:val="0000ff"/>
      <w:u w:val="single"/>
    </w:rPr>
  </w:style>
  <w:style w:type="paragraph" w:styleId="1026" w:customStyle="1">
    <w:name w:val="Знак Char Знак Знак Знак Знак Знак Знак Знак"/>
    <w:basedOn w:val="1003"/>
    <w:uiPriority w:val="99"/>
    <w:pPr>
      <w:jc w:val="both"/>
      <w:spacing w:before="100" w:beforeAutospacing="1" w:after="100" w:afterAutospacing="1" w:line="240" w:lineRule="exact"/>
      <w:tabs>
        <w:tab w:val="num" w:pos="360" w:leader="none"/>
      </w:tabs>
    </w:pPr>
    <w:rPr>
      <w:rFonts w:ascii="Verdana" w:hAnsi="Verdana" w:cs="Verdana"/>
      <w:sz w:val="20"/>
      <w:szCs w:val="20"/>
      <w:lang w:val="en-US" w:eastAsia="en-US"/>
    </w:rPr>
  </w:style>
  <w:style w:type="paragraph" w:styleId="1027" w:customStyle="1">
    <w:name w:val="ConsPlusTitle"/>
    <w:uiPriority w:val="99"/>
    <w:pPr>
      <w:widowControl w:val="off"/>
    </w:pPr>
    <w:rPr>
      <w:rFonts w:ascii="Arial" w:hAnsi="Arial" w:cs="Arial"/>
      <w:b/>
      <w:bCs/>
    </w:rPr>
  </w:style>
  <w:style w:type="paragraph" w:styleId="1028" w:customStyle="1">
    <w:name w:val="ConsPlusNormal"/>
    <w:link w:val="1288"/>
    <w:pPr>
      <w:ind w:firstLine="720"/>
      <w:widowControl w:val="off"/>
    </w:pPr>
    <w:rPr>
      <w:rFonts w:ascii="Arial" w:hAnsi="Arial" w:cs="Arial"/>
    </w:rPr>
  </w:style>
  <w:style w:type="paragraph" w:styleId="1029">
    <w:name w:val="Normal (Web)"/>
    <w:basedOn w:val="1003"/>
    <w:pPr>
      <w:spacing w:before="100" w:beforeAutospacing="1" w:after="100" w:afterAutospacing="1"/>
    </w:pPr>
  </w:style>
  <w:style w:type="paragraph" w:styleId="1030">
    <w:name w:val="Body Text Indent"/>
    <w:basedOn w:val="1003"/>
    <w:link w:val="1031"/>
    <w:pPr>
      <w:ind w:firstLine="720"/>
      <w:jc w:val="both"/>
      <w:spacing w:line="312" w:lineRule="auto"/>
    </w:pPr>
    <w:rPr>
      <w:sz w:val="27"/>
      <w:szCs w:val="20"/>
    </w:rPr>
  </w:style>
  <w:style w:type="character" w:styleId="1031" w:customStyle="1">
    <w:name w:val="Основной текст с отступом Знак"/>
    <w:basedOn w:val="1013"/>
    <w:link w:val="1030"/>
    <w:rPr>
      <w:sz w:val="27"/>
    </w:rPr>
  </w:style>
  <w:style w:type="paragraph" w:styleId="1032">
    <w:name w:val="Balloon Text"/>
    <w:basedOn w:val="1003"/>
    <w:link w:val="1033"/>
    <w:uiPriority w:val="99"/>
    <w:semiHidden/>
    <w:rPr>
      <w:rFonts w:ascii="Tahoma" w:hAnsi="Tahoma" w:cs="Tahoma"/>
      <w:sz w:val="16"/>
      <w:szCs w:val="16"/>
    </w:rPr>
  </w:style>
  <w:style w:type="character" w:styleId="1033" w:customStyle="1">
    <w:name w:val="Текст выноски Знак"/>
    <w:basedOn w:val="1013"/>
    <w:link w:val="1032"/>
    <w:uiPriority w:val="99"/>
    <w:semiHidden/>
    <w:rPr>
      <w:rFonts w:ascii="Tahoma" w:hAnsi="Tahoma" w:cs="Tahoma"/>
      <w:sz w:val="16"/>
      <w:szCs w:val="16"/>
    </w:rPr>
  </w:style>
  <w:style w:type="paragraph" w:styleId="1034">
    <w:name w:val="Header"/>
    <w:basedOn w:val="1003"/>
    <w:link w:val="1035"/>
    <w:uiPriority w:val="99"/>
    <w:pPr>
      <w:tabs>
        <w:tab w:val="center" w:pos="4677" w:leader="none"/>
        <w:tab w:val="right" w:pos="9355" w:leader="none"/>
      </w:tabs>
    </w:pPr>
  </w:style>
  <w:style w:type="character" w:styleId="1035" w:customStyle="1">
    <w:name w:val="Верхний колонтитул Знак"/>
    <w:basedOn w:val="1013"/>
    <w:link w:val="1034"/>
    <w:uiPriority w:val="99"/>
    <w:rPr>
      <w:sz w:val="24"/>
      <w:szCs w:val="24"/>
    </w:rPr>
  </w:style>
  <w:style w:type="paragraph" w:styleId="1036">
    <w:name w:val="Footer"/>
    <w:basedOn w:val="1003"/>
    <w:link w:val="1037"/>
    <w:uiPriority w:val="99"/>
    <w:pPr>
      <w:tabs>
        <w:tab w:val="center" w:pos="4677" w:leader="none"/>
        <w:tab w:val="right" w:pos="9355" w:leader="none"/>
      </w:tabs>
    </w:pPr>
  </w:style>
  <w:style w:type="character" w:styleId="1037" w:customStyle="1">
    <w:name w:val="Нижний колонтитул Знак"/>
    <w:basedOn w:val="1013"/>
    <w:link w:val="1036"/>
    <w:uiPriority w:val="99"/>
    <w:rPr>
      <w:sz w:val="24"/>
      <w:szCs w:val="24"/>
    </w:rPr>
  </w:style>
  <w:style w:type="paragraph" w:styleId="1038">
    <w:name w:val="Body Text"/>
    <w:basedOn w:val="1003"/>
    <w:link w:val="1039"/>
    <w:pPr>
      <w:spacing w:after="120"/>
    </w:pPr>
  </w:style>
  <w:style w:type="character" w:styleId="1039" w:customStyle="1">
    <w:name w:val="Основной текст Знак"/>
    <w:basedOn w:val="1013"/>
    <w:link w:val="1038"/>
    <w:rPr>
      <w:sz w:val="24"/>
      <w:szCs w:val="24"/>
    </w:rPr>
  </w:style>
  <w:style w:type="character" w:styleId="1040">
    <w:name w:val="page number"/>
    <w:basedOn w:val="1013"/>
    <w:uiPriority w:val="99"/>
  </w:style>
  <w:style w:type="paragraph" w:styleId="1041" w:customStyle="1">
    <w:name w:val="Мой стиль1"/>
    <w:basedOn w:val="1038"/>
    <w:uiPriority w:val="99"/>
    <w:pPr>
      <w:ind w:firstLine="720"/>
      <w:jc w:val="both"/>
    </w:pPr>
    <w:rPr>
      <w:rFonts w:ascii="Arial" w:hAnsi="Arial"/>
      <w:szCs w:val="20"/>
    </w:rPr>
  </w:style>
  <w:style w:type="paragraph" w:styleId="1042" w:customStyle="1">
    <w:name w:val="стиль2 сп циф"/>
    <w:basedOn w:val="1041"/>
    <w:uiPriority w:val="99"/>
    <w:pPr>
      <w:ind w:left="1080"/>
      <w:tabs>
        <w:tab w:val="num" w:pos="1080" w:leader="none"/>
      </w:tabs>
    </w:pPr>
    <w:rPr>
      <w:sz w:val="22"/>
    </w:rPr>
  </w:style>
  <w:style w:type="paragraph" w:styleId="1043" w:customStyle="1">
    <w:name w:val="стиль 2"/>
    <w:basedOn w:val="1041"/>
    <w:uiPriority w:val="99"/>
  </w:style>
  <w:style w:type="paragraph" w:styleId="1044" w:customStyle="1">
    <w:name w:val="ConsPlusNonformat"/>
    <w:uiPriority w:val="99"/>
    <w:pPr>
      <w:widowControl w:val="off"/>
    </w:pPr>
    <w:rPr>
      <w:rFonts w:ascii="Courier New" w:hAnsi="Courier New" w:cs="Wingdings"/>
    </w:rPr>
  </w:style>
  <w:style w:type="paragraph" w:styleId="1045">
    <w:name w:val="Body Text Indent 2"/>
    <w:basedOn w:val="1003"/>
    <w:link w:val="1046"/>
    <w:uiPriority w:val="99"/>
    <w:pPr>
      <w:ind w:firstLine="708"/>
    </w:pPr>
    <w:rPr>
      <w:sz w:val="26"/>
    </w:rPr>
  </w:style>
  <w:style w:type="character" w:styleId="1046" w:customStyle="1">
    <w:name w:val="Основной текст с отступом 2 Знак"/>
    <w:basedOn w:val="1013"/>
    <w:link w:val="1045"/>
    <w:uiPriority w:val="99"/>
    <w:rPr>
      <w:sz w:val="26"/>
      <w:szCs w:val="24"/>
    </w:rPr>
  </w:style>
  <w:style w:type="paragraph" w:styleId="1047">
    <w:name w:val="Body Text Indent 3"/>
    <w:basedOn w:val="1003"/>
    <w:link w:val="1048"/>
    <w:uiPriority w:val="99"/>
    <w:pPr>
      <w:ind w:firstLine="708"/>
      <w:jc w:val="both"/>
    </w:pPr>
    <w:rPr>
      <w:sz w:val="28"/>
    </w:rPr>
  </w:style>
  <w:style w:type="character" w:styleId="1048" w:customStyle="1">
    <w:name w:val="Основной текст с отступом 3 Знак"/>
    <w:basedOn w:val="1013"/>
    <w:link w:val="1047"/>
    <w:uiPriority w:val="99"/>
    <w:rPr>
      <w:sz w:val="28"/>
      <w:szCs w:val="24"/>
    </w:rPr>
  </w:style>
  <w:style w:type="paragraph" w:styleId="1049">
    <w:name w:val="Body Text 2"/>
    <w:basedOn w:val="1003"/>
    <w:link w:val="1050"/>
    <w:uiPriority w:val="99"/>
    <w:pPr>
      <w:jc w:val="center"/>
    </w:pPr>
    <w:rPr>
      <w:b/>
    </w:rPr>
  </w:style>
  <w:style w:type="character" w:styleId="1050" w:customStyle="1">
    <w:name w:val="Основной текст 2 Знак"/>
    <w:basedOn w:val="1013"/>
    <w:link w:val="1049"/>
    <w:uiPriority w:val="99"/>
    <w:rPr>
      <w:b/>
      <w:sz w:val="24"/>
      <w:szCs w:val="24"/>
    </w:rPr>
  </w:style>
  <w:style w:type="paragraph" w:styleId="1051">
    <w:name w:val="Body Text 3"/>
    <w:basedOn w:val="1003"/>
    <w:link w:val="1052"/>
    <w:uiPriority w:val="99"/>
    <w:pPr>
      <w:jc w:val="center"/>
    </w:pPr>
    <w:rPr>
      <w:b/>
      <w:sz w:val="26"/>
    </w:rPr>
  </w:style>
  <w:style w:type="character" w:styleId="1052" w:customStyle="1">
    <w:name w:val="Основной текст 3 Знак"/>
    <w:basedOn w:val="1013"/>
    <w:link w:val="1051"/>
    <w:uiPriority w:val="99"/>
    <w:rPr>
      <w:b/>
      <w:sz w:val="26"/>
      <w:szCs w:val="24"/>
    </w:rPr>
  </w:style>
  <w:style w:type="paragraph" w:styleId="1053">
    <w:name w:val="Document Map"/>
    <w:basedOn w:val="1003"/>
    <w:link w:val="1054"/>
    <w:uiPriority w:val="99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1054" w:customStyle="1">
    <w:name w:val="Схема документа Знак"/>
    <w:basedOn w:val="1013"/>
    <w:link w:val="1053"/>
    <w:uiPriority w:val="99"/>
    <w:rPr>
      <w:rFonts w:ascii="Tahoma" w:hAnsi="Tahoma" w:cs="Tahoma"/>
      <w:shd w:val="clear" w:color="auto" w:fill="000080"/>
    </w:rPr>
  </w:style>
  <w:style w:type="paragraph" w:styleId="1055" w:customStyle="1">
    <w:name w:val="Знак Знак Знак Знак"/>
    <w:basedOn w:val="1003"/>
    <w:uiPriority w:val="99"/>
    <w:pPr>
      <w:spacing w:after="160" w:line="240" w:lineRule="exact"/>
    </w:pPr>
    <w:rPr>
      <w:rFonts w:ascii="Verdana" w:hAnsi="Verdana"/>
      <w:lang w:val="en-US" w:eastAsia="en-US"/>
    </w:rPr>
  </w:style>
  <w:style w:type="table" w:styleId="1056">
    <w:name w:val="Table Grid"/>
    <w:basedOn w:val="1014"/>
    <w:rPr>
      <w:rFonts w:ascii="Calibri" w:hAnsi="Calibri" w:eastAsia="Calibri"/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57" w:customStyle="1">
    <w:name w:val="ConsPlusCell"/>
    <w:uiPriority w:val="99"/>
    <w:pPr>
      <w:widowControl w:val="off"/>
    </w:pPr>
    <w:rPr>
      <w:rFonts w:ascii="Arial" w:hAnsi="Arial" w:cs="Arial"/>
    </w:rPr>
  </w:style>
  <w:style w:type="paragraph" w:styleId="1058">
    <w:name w:val="List Paragraph"/>
    <w:basedOn w:val="1003"/>
    <w:uiPriority w:val="99"/>
    <w:qFormat/>
    <w:pPr>
      <w:contextualSpacing/>
      <w:ind w:left="720"/>
      <w:spacing w:after="200" w:line="276" w:lineRule="auto"/>
    </w:pPr>
    <w:rPr>
      <w:rFonts w:ascii="Calibri" w:hAnsi="Calibri" w:eastAsia="Calibri"/>
      <w:sz w:val="22"/>
      <w:szCs w:val="22"/>
      <w:lang w:eastAsia="en-US"/>
    </w:rPr>
  </w:style>
  <w:style w:type="paragraph" w:styleId="1059">
    <w:name w:val="No Spacing"/>
    <w:qFormat/>
    <w:rPr>
      <w:rFonts w:ascii="Calibri" w:hAnsi="Calibri" w:eastAsia="Calibri"/>
      <w:sz w:val="22"/>
      <w:szCs w:val="22"/>
      <w:lang w:eastAsia="en-US"/>
    </w:rPr>
  </w:style>
  <w:style w:type="paragraph" w:styleId="1060" w:customStyle="1">
    <w:name w:val="Без интервала1"/>
    <w:rPr>
      <w:rFonts w:ascii="Calibri" w:hAnsi="Calibri" w:eastAsia="Calibri" w:cs="Calibri"/>
      <w:sz w:val="22"/>
      <w:szCs w:val="22"/>
      <w:lang w:eastAsia="en-US"/>
    </w:rPr>
  </w:style>
  <w:style w:type="paragraph" w:styleId="1061" w:customStyle="1">
    <w:name w:val="msonormalcxspmiddle"/>
    <w:basedOn w:val="1003"/>
    <w:pPr>
      <w:spacing w:before="100" w:beforeAutospacing="1" w:after="100" w:afterAutospacing="1"/>
    </w:pPr>
  </w:style>
  <w:style w:type="paragraph" w:styleId="1062" w:customStyle="1">
    <w:name w:val="Знак1 Знак Знак Знак Знак Знак Знак Знак Знак1 Char"/>
    <w:basedOn w:val="100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1063">
    <w:name w:val="FollowedHyperlink"/>
    <w:uiPriority w:val="99"/>
    <w:unhideWhenUsed/>
    <w:rPr>
      <w:color w:val="800080"/>
      <w:u w:val="single"/>
    </w:rPr>
  </w:style>
  <w:style w:type="paragraph" w:styleId="1064" w:customStyle="1">
    <w:name w:val="font5"/>
    <w:basedOn w:val="1003"/>
    <w:pPr>
      <w:spacing w:before="100" w:beforeAutospacing="1" w:after="100" w:afterAutospacing="1"/>
    </w:pPr>
    <w:rPr>
      <w:color w:val="000000"/>
    </w:rPr>
  </w:style>
  <w:style w:type="paragraph" w:styleId="1065" w:customStyle="1">
    <w:name w:val="font6"/>
    <w:basedOn w:val="1003"/>
    <w:pPr>
      <w:spacing w:before="100" w:beforeAutospacing="1" w:after="100" w:afterAutospacing="1"/>
    </w:pPr>
    <w:rPr>
      <w:color w:val="000000"/>
      <w:u w:val="single"/>
    </w:rPr>
  </w:style>
  <w:style w:type="paragraph" w:styleId="1066" w:customStyle="1">
    <w:name w:val="font7"/>
    <w:basedOn w:val="1003"/>
    <w:pPr>
      <w:spacing w:before="100" w:beforeAutospacing="1" w:after="100" w:afterAutospacing="1"/>
    </w:pPr>
  </w:style>
  <w:style w:type="paragraph" w:styleId="1067" w:customStyle="1">
    <w:name w:val="font8"/>
    <w:basedOn w:val="1003"/>
    <w:pPr>
      <w:spacing w:before="100" w:beforeAutospacing="1" w:after="100" w:afterAutospacing="1"/>
    </w:pPr>
    <w:rPr>
      <w:u w:val="single"/>
    </w:rPr>
  </w:style>
  <w:style w:type="paragraph" w:styleId="1068" w:customStyle="1">
    <w:name w:val="font9"/>
    <w:basedOn w:val="1003"/>
    <w:pPr>
      <w:spacing w:before="100" w:beforeAutospacing="1" w:after="100" w:afterAutospacing="1"/>
    </w:pPr>
    <w:rPr>
      <w:color w:val="ff0000"/>
    </w:rPr>
  </w:style>
  <w:style w:type="paragraph" w:styleId="1069" w:customStyle="1">
    <w:name w:val="xl63"/>
    <w:basedOn w:val="1003"/>
    <w:pPr>
      <w:spacing w:before="100" w:beforeAutospacing="1" w:after="100" w:afterAutospacing="1"/>
    </w:pPr>
    <w:rPr>
      <w:color w:val="000000"/>
      <w:sz w:val="28"/>
      <w:szCs w:val="28"/>
    </w:rPr>
  </w:style>
  <w:style w:type="paragraph" w:styleId="1070" w:customStyle="1">
    <w:name w:val="xl64"/>
    <w:basedOn w:val="1003"/>
    <w:pPr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styleId="1071" w:customStyle="1">
    <w:name w:val="xl65"/>
    <w:basedOn w:val="1003"/>
    <w:pPr>
      <w:spacing w:before="100" w:beforeAutospacing="1" w:after="100" w:afterAutospacing="1"/>
    </w:pPr>
    <w:rPr>
      <w:color w:val="000000"/>
      <w:sz w:val="28"/>
      <w:szCs w:val="28"/>
    </w:rPr>
  </w:style>
  <w:style w:type="paragraph" w:styleId="1072" w:customStyle="1">
    <w:name w:val="xl66"/>
    <w:basedOn w:val="1003"/>
    <w:pPr>
      <w:spacing w:before="100" w:beforeAutospacing="1" w:after="100" w:afterAutospacing="1"/>
    </w:pPr>
    <w:rPr>
      <w:color w:val="000000"/>
    </w:rPr>
  </w:style>
  <w:style w:type="paragraph" w:styleId="1073" w:customStyle="1">
    <w:name w:val="xl67"/>
    <w:basedOn w:val="1003"/>
    <w:pPr>
      <w:spacing w:before="100" w:beforeAutospacing="1" w:after="100" w:afterAutospacing="1"/>
    </w:pPr>
    <w:rPr>
      <w:color w:val="000000"/>
    </w:rPr>
  </w:style>
  <w:style w:type="paragraph" w:styleId="1074" w:customStyle="1">
    <w:name w:val="xl68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075" w:customStyle="1">
    <w:name w:val="xl69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076" w:customStyle="1">
    <w:name w:val="xl70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ff0000"/>
    </w:rPr>
  </w:style>
  <w:style w:type="paragraph" w:styleId="1077" w:customStyle="1">
    <w:name w:val="xl71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78" w:customStyle="1">
    <w:name w:val="xl72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079" w:customStyle="1">
    <w:name w:val="xl73"/>
    <w:basedOn w:val="1003"/>
    <w:pPr>
      <w:spacing w:before="100" w:beforeAutospacing="1" w:after="100" w:afterAutospacing="1"/>
      <w:pBdr>
        <w:top w:val="single" w:color="000000" w:sz="8" w:space="0"/>
        <w:left w:val="single" w:color="000000" w:sz="8" w:space="0"/>
        <w:bottom w:val="single" w:color="000000" w:sz="8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1080" w:customStyle="1">
    <w:name w:val="xl74"/>
    <w:basedOn w:val="1003"/>
    <w:pPr>
      <w:spacing w:before="100" w:beforeAutospacing="1" w:after="100" w:afterAutospacing="1"/>
      <w:pBdr>
        <w:top w:val="single" w:color="000000" w:sz="8" w:space="0"/>
        <w:left w:val="single" w:color="000000" w:sz="4" w:space="0"/>
        <w:bottom w:val="single" w:color="000000" w:sz="8" w:space="0"/>
        <w:right w:val="single" w:color="000000" w:sz="4" w:space="0"/>
      </w:pBdr>
    </w:pPr>
    <w:rPr>
      <w:color w:val="000000"/>
      <w:sz w:val="28"/>
      <w:szCs w:val="28"/>
    </w:rPr>
  </w:style>
  <w:style w:type="paragraph" w:styleId="1081" w:customStyle="1">
    <w:name w:val="xl75"/>
    <w:basedOn w:val="1003"/>
    <w:pPr>
      <w:spacing w:before="100" w:beforeAutospacing="1" w:after="100" w:afterAutospacing="1"/>
      <w:pBdr>
        <w:top w:val="single" w:color="000000" w:sz="8" w:space="0"/>
        <w:left w:val="single" w:color="000000" w:sz="4" w:space="0"/>
        <w:bottom w:val="single" w:color="000000" w:sz="8" w:space="0"/>
        <w:right w:val="single" w:color="000000" w:sz="8" w:space="0"/>
      </w:pBdr>
    </w:pPr>
    <w:rPr>
      <w:color w:val="000000"/>
      <w:sz w:val="28"/>
      <w:szCs w:val="28"/>
    </w:rPr>
  </w:style>
  <w:style w:type="paragraph" w:styleId="1082" w:customStyle="1">
    <w:name w:val="xl76"/>
    <w:basedOn w:val="1003"/>
    <w:pPr>
      <w:spacing w:before="100" w:beforeAutospacing="1" w:after="100" w:afterAutospacing="1"/>
      <w:shd w:val="clear" w:color="000000" w:fill="ffffff"/>
    </w:pPr>
    <w:rPr>
      <w:color w:val="000000"/>
      <w:sz w:val="28"/>
      <w:szCs w:val="28"/>
    </w:rPr>
  </w:style>
  <w:style w:type="paragraph" w:styleId="1083" w:customStyle="1">
    <w:name w:val="xl77"/>
    <w:basedOn w:val="1003"/>
    <w:pPr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084" w:customStyle="1">
    <w:name w:val="xl78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85" w:customStyle="1">
    <w:name w:val="xl79"/>
    <w:basedOn w:val="1003"/>
    <w:pPr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086" w:customStyle="1">
    <w:name w:val="xl80"/>
    <w:basedOn w:val="1003"/>
    <w:pPr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087" w:customStyle="1">
    <w:name w:val="xl81"/>
    <w:basedOn w:val="1003"/>
    <w:pPr>
      <w:jc w:val="center"/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088" w:customStyle="1">
    <w:name w:val="xl82"/>
    <w:basedOn w:val="1003"/>
    <w:pPr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</w:style>
  <w:style w:type="paragraph" w:styleId="1089" w:customStyle="1">
    <w:name w:val="xl83"/>
    <w:basedOn w:val="1003"/>
    <w:pPr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</w:style>
  <w:style w:type="paragraph" w:styleId="1090" w:customStyle="1">
    <w:name w:val="xl84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91" w:customStyle="1">
    <w:name w:val="xl85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92" w:customStyle="1">
    <w:name w:val="xl86"/>
    <w:basedOn w:val="1003"/>
    <w:pPr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</w:style>
  <w:style w:type="paragraph" w:styleId="1093" w:customStyle="1">
    <w:name w:val="xl87"/>
    <w:basedOn w:val="1003"/>
    <w:pPr>
      <w:spacing w:before="100" w:beforeAutospacing="1" w:after="100" w:afterAutospacing="1"/>
      <w:pBdr>
        <w:right w:val="single" w:color="000000" w:sz="4" w:space="0"/>
      </w:pBdr>
    </w:pPr>
    <w:rPr>
      <w:b/>
      <w:bCs/>
    </w:rPr>
  </w:style>
  <w:style w:type="paragraph" w:styleId="1094" w:customStyle="1">
    <w:name w:val="xl88"/>
    <w:basedOn w:val="1003"/>
    <w:pPr>
      <w:spacing w:before="100" w:beforeAutospacing="1" w:after="100" w:afterAutospacing="1"/>
      <w:pBdr>
        <w:left w:val="single" w:color="000000" w:sz="4" w:space="0"/>
      </w:pBdr>
    </w:pPr>
  </w:style>
  <w:style w:type="paragraph" w:styleId="1095" w:customStyle="1">
    <w:name w:val="xl89"/>
    <w:basedOn w:val="1003"/>
    <w:pPr>
      <w:spacing w:before="100" w:beforeAutospacing="1" w:after="100" w:afterAutospacing="1"/>
      <w:pBdr>
        <w:right w:val="single" w:color="000000" w:sz="4" w:space="0"/>
      </w:pBdr>
    </w:pPr>
    <w:rPr>
      <w:color w:val="000000"/>
    </w:rPr>
  </w:style>
  <w:style w:type="paragraph" w:styleId="1096" w:customStyle="1">
    <w:name w:val="xl90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color w:val="000000"/>
    </w:rPr>
  </w:style>
  <w:style w:type="paragraph" w:styleId="1097" w:customStyle="1">
    <w:name w:val="xl91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</w:style>
  <w:style w:type="paragraph" w:styleId="1098" w:customStyle="1">
    <w:name w:val="xl92"/>
    <w:basedOn w:val="1003"/>
    <w:pPr>
      <w:jc w:val="right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099" w:customStyle="1">
    <w:name w:val="xl93"/>
    <w:basedOn w:val="1003"/>
    <w:pPr>
      <w:jc w:val="right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00" w:customStyle="1">
    <w:name w:val="xl94"/>
    <w:basedOn w:val="1003"/>
    <w:pPr>
      <w:jc w:val="right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</w:style>
  <w:style w:type="paragraph" w:styleId="1101" w:customStyle="1">
    <w:name w:val="xl95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102" w:customStyle="1">
    <w:name w:val="xl96"/>
    <w:basedOn w:val="1003"/>
    <w:pPr>
      <w:spacing w:before="100" w:beforeAutospacing="1" w:after="100" w:afterAutospacing="1"/>
      <w:shd w:val="clear" w:color="000000" w:fill="ffffff"/>
      <w:pBdr>
        <w:left w:val="single" w:color="000000" w:sz="4" w:space="0"/>
        <w:right w:val="single" w:color="000000" w:sz="4" w:space="0"/>
      </w:pBdr>
    </w:pPr>
  </w:style>
  <w:style w:type="paragraph" w:styleId="1103" w:customStyle="1">
    <w:name w:val="xl97"/>
    <w:basedOn w:val="1003"/>
    <w:pPr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</w:style>
  <w:style w:type="paragraph" w:styleId="1104" w:customStyle="1">
    <w:name w:val="xl98"/>
    <w:basedOn w:val="1003"/>
    <w:pPr>
      <w:spacing w:before="100" w:beforeAutospacing="1" w:after="100" w:afterAutospacing="1"/>
      <w:pBdr>
        <w:left w:val="single" w:color="000000" w:sz="4" w:space="0"/>
      </w:pBdr>
    </w:pPr>
    <w:rPr>
      <w:color w:val="000000"/>
      <w:sz w:val="28"/>
      <w:szCs w:val="28"/>
    </w:rPr>
  </w:style>
  <w:style w:type="paragraph" w:styleId="1105" w:customStyle="1">
    <w:name w:val="xl99"/>
    <w:basedOn w:val="1003"/>
    <w:pPr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</w:style>
  <w:style w:type="paragraph" w:styleId="1106" w:customStyle="1">
    <w:name w:val="xl100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</w:pBdr>
    </w:pPr>
    <w:rPr>
      <w:color w:val="000000"/>
    </w:rPr>
  </w:style>
  <w:style w:type="paragraph" w:styleId="1107" w:customStyle="1">
    <w:name w:val="xl101"/>
    <w:basedOn w:val="1003"/>
    <w:pPr>
      <w:spacing w:before="100" w:beforeAutospacing="1" w:after="100" w:afterAutospacing="1"/>
      <w:pBdr>
        <w:top w:val="single" w:color="000000" w:sz="4" w:space="0"/>
      </w:pBdr>
    </w:pPr>
    <w:rPr>
      <w:color w:val="000000"/>
    </w:rPr>
  </w:style>
  <w:style w:type="paragraph" w:styleId="1108" w:customStyle="1">
    <w:name w:val="xl102"/>
    <w:basedOn w:val="1003"/>
    <w:pPr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000000"/>
    </w:rPr>
  </w:style>
  <w:style w:type="paragraph" w:styleId="1109" w:customStyle="1">
    <w:name w:val="xl103"/>
    <w:basedOn w:val="1003"/>
    <w:pPr>
      <w:spacing w:before="100" w:beforeAutospacing="1" w:after="100" w:afterAutospacing="1"/>
      <w:pBdr>
        <w:left w:val="single" w:color="000000" w:sz="4" w:space="0"/>
      </w:pBdr>
    </w:pPr>
    <w:rPr>
      <w:color w:val="000000"/>
    </w:rPr>
  </w:style>
  <w:style w:type="paragraph" w:styleId="1110" w:customStyle="1">
    <w:name w:val="xl104"/>
    <w:basedOn w:val="1003"/>
    <w:pPr>
      <w:spacing w:before="100" w:beforeAutospacing="1" w:after="100" w:afterAutospacing="1"/>
    </w:pPr>
    <w:rPr>
      <w:color w:val="000000"/>
    </w:rPr>
  </w:style>
  <w:style w:type="paragraph" w:styleId="1111" w:customStyle="1">
    <w:name w:val="xl105"/>
    <w:basedOn w:val="1003"/>
    <w:pPr>
      <w:spacing w:before="100" w:beforeAutospacing="1" w:after="100" w:afterAutospacing="1"/>
      <w:pBdr>
        <w:right w:val="single" w:color="000000" w:sz="4" w:space="0"/>
      </w:pBdr>
    </w:pPr>
    <w:rPr>
      <w:color w:val="000000"/>
    </w:rPr>
  </w:style>
  <w:style w:type="paragraph" w:styleId="1112" w:customStyle="1">
    <w:name w:val="xl106"/>
    <w:basedOn w:val="1003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13" w:customStyle="1">
    <w:name w:val="xl107"/>
    <w:basedOn w:val="1003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114" w:customStyle="1">
    <w:name w:val="xl108"/>
    <w:basedOn w:val="1003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115" w:customStyle="1">
    <w:name w:val="xl109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116" w:customStyle="1">
    <w:name w:val="xl110"/>
    <w:basedOn w:val="1003"/>
    <w:pPr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17" w:customStyle="1">
    <w:name w:val="xl111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18" w:customStyle="1">
    <w:name w:val="xl112"/>
    <w:basedOn w:val="1003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19" w:customStyle="1">
    <w:name w:val="xl113"/>
    <w:basedOn w:val="1003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120" w:customStyle="1">
    <w:name w:val="xl114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121" w:customStyle="1">
    <w:name w:val="xl115"/>
    <w:basedOn w:val="1003"/>
    <w:pPr>
      <w:spacing w:before="100" w:beforeAutospacing="1" w:after="100" w:afterAutospacing="1"/>
    </w:pPr>
    <w:rPr>
      <w:color w:val="000000"/>
    </w:rPr>
  </w:style>
  <w:style w:type="paragraph" w:styleId="1122" w:customStyle="1">
    <w:name w:val="xl116"/>
    <w:basedOn w:val="1003"/>
    <w:pPr>
      <w:spacing w:before="100" w:beforeAutospacing="1" w:after="100" w:afterAutospacing="1"/>
      <w:pBdr>
        <w:top w:val="single" w:color="000000" w:sz="8" w:space="0"/>
        <w:bottom w:val="single" w:color="000000" w:sz="8" w:space="0"/>
      </w:pBdr>
    </w:pPr>
    <w:rPr>
      <w:b/>
      <w:bCs/>
      <w:color w:val="ff0000"/>
    </w:rPr>
  </w:style>
  <w:style w:type="paragraph" w:styleId="1123" w:customStyle="1">
    <w:name w:val="xl117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24" w:customStyle="1">
    <w:name w:val="xl118"/>
    <w:basedOn w:val="1003"/>
    <w:pPr>
      <w:spacing w:before="100" w:beforeAutospacing="1" w:after="100" w:afterAutospacing="1"/>
    </w:pPr>
    <w:rPr>
      <w:b/>
      <w:bCs/>
      <w:color w:val="000000"/>
    </w:rPr>
  </w:style>
  <w:style w:type="paragraph" w:styleId="1125" w:customStyle="1">
    <w:name w:val="xl119"/>
    <w:basedOn w:val="1003"/>
    <w:pPr>
      <w:jc w:val="right"/>
      <w:spacing w:before="100" w:beforeAutospacing="1" w:after="100" w:afterAutospacing="1"/>
    </w:pPr>
    <w:rPr>
      <w:b/>
      <w:bCs/>
      <w:color w:val="000000"/>
    </w:rPr>
  </w:style>
  <w:style w:type="paragraph" w:styleId="1126" w:customStyle="1">
    <w:name w:val="xl120"/>
    <w:basedOn w:val="1003"/>
    <w:pPr>
      <w:jc w:val="right"/>
      <w:spacing w:before="100" w:beforeAutospacing="1" w:after="100" w:afterAutospacing="1"/>
    </w:pPr>
    <w:rPr>
      <w:b/>
      <w:bCs/>
      <w:color w:val="000000"/>
    </w:rPr>
  </w:style>
  <w:style w:type="paragraph" w:styleId="1127" w:customStyle="1">
    <w:name w:val="xl121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</w:style>
  <w:style w:type="paragraph" w:styleId="1128" w:customStyle="1">
    <w:name w:val="xl122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129" w:customStyle="1">
    <w:name w:val="xl123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130" w:customStyle="1">
    <w:name w:val="xl124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</w:pBdr>
    </w:pPr>
    <w:rPr>
      <w:color w:val="000000"/>
    </w:rPr>
  </w:style>
  <w:style w:type="paragraph" w:styleId="1131" w:customStyle="1">
    <w:name w:val="xl125"/>
    <w:basedOn w:val="1003"/>
    <w:pPr>
      <w:jc w:val="center"/>
      <w:spacing w:before="100" w:beforeAutospacing="1" w:after="100" w:afterAutospacing="1"/>
      <w:pBdr>
        <w:top w:val="single" w:color="000000" w:sz="4" w:space="0"/>
      </w:pBdr>
    </w:pPr>
    <w:rPr>
      <w:color w:val="000000"/>
    </w:rPr>
  </w:style>
  <w:style w:type="paragraph" w:styleId="1132" w:customStyle="1">
    <w:name w:val="xl126"/>
    <w:basedOn w:val="1003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000000"/>
    </w:rPr>
  </w:style>
  <w:style w:type="paragraph" w:styleId="1133" w:customStyle="1">
    <w:name w:val="xl127"/>
    <w:basedOn w:val="1003"/>
    <w:pPr>
      <w:jc w:val="center"/>
      <w:spacing w:before="100" w:beforeAutospacing="1" w:after="100" w:afterAutospacing="1"/>
      <w:pBdr>
        <w:left w:val="single" w:color="000000" w:sz="4" w:space="0"/>
      </w:pBdr>
    </w:pPr>
    <w:rPr>
      <w:color w:val="000000"/>
    </w:rPr>
  </w:style>
  <w:style w:type="paragraph" w:styleId="1134" w:customStyle="1">
    <w:name w:val="xl128"/>
    <w:basedOn w:val="1003"/>
    <w:pPr>
      <w:jc w:val="center"/>
      <w:spacing w:before="100" w:beforeAutospacing="1" w:after="100" w:afterAutospacing="1"/>
    </w:pPr>
    <w:rPr>
      <w:color w:val="000000"/>
    </w:rPr>
  </w:style>
  <w:style w:type="paragraph" w:styleId="1135" w:customStyle="1">
    <w:name w:val="xl129"/>
    <w:basedOn w:val="1003"/>
    <w:pPr>
      <w:jc w:val="center"/>
      <w:spacing w:before="100" w:beforeAutospacing="1" w:after="100" w:afterAutospacing="1"/>
      <w:pBdr>
        <w:right w:val="single" w:color="000000" w:sz="4" w:space="0"/>
      </w:pBdr>
    </w:pPr>
    <w:rPr>
      <w:color w:val="000000"/>
    </w:rPr>
  </w:style>
  <w:style w:type="paragraph" w:styleId="1136" w:customStyle="1">
    <w:name w:val="xl130"/>
    <w:basedOn w:val="1003"/>
    <w:pPr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137" w:customStyle="1">
    <w:name w:val="xl131"/>
    <w:basedOn w:val="1003"/>
    <w:pPr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38" w:customStyle="1">
    <w:name w:val="xl132"/>
    <w:basedOn w:val="100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39" w:customStyle="1">
    <w:name w:val="xl133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140" w:customStyle="1">
    <w:name w:val="xl134"/>
    <w:basedOn w:val="100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41" w:customStyle="1">
    <w:name w:val="xl135"/>
    <w:basedOn w:val="1003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</w:style>
  <w:style w:type="paragraph" w:styleId="1142" w:customStyle="1">
    <w:name w:val="xl136"/>
    <w:basedOn w:val="1003"/>
    <w:pPr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143" w:customStyle="1">
    <w:name w:val="xl137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color w:val="000000"/>
    </w:rPr>
  </w:style>
  <w:style w:type="paragraph" w:styleId="1144" w:customStyle="1">
    <w:name w:val="xl138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</w:pBdr>
    </w:pPr>
    <w:rPr>
      <w:color w:val="000000"/>
    </w:rPr>
  </w:style>
  <w:style w:type="paragraph" w:styleId="1145" w:customStyle="1">
    <w:name w:val="xl139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46" w:customStyle="1">
    <w:name w:val="xl140"/>
    <w:basedOn w:val="1003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147" w:customStyle="1">
    <w:name w:val="xl141"/>
    <w:basedOn w:val="1003"/>
    <w:pPr>
      <w:spacing w:before="100" w:beforeAutospacing="1" w:after="100" w:afterAutospacing="1"/>
      <w:shd w:val="clear" w:color="000000" w:fill="ffffff"/>
      <w:pBdr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148" w:customStyle="1">
    <w:name w:val="xl142"/>
    <w:basedOn w:val="1003"/>
    <w:pPr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49" w:customStyle="1">
    <w:name w:val="xl143"/>
    <w:basedOn w:val="1003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150" w:customStyle="1">
    <w:name w:val="xl144"/>
    <w:basedOn w:val="1003"/>
    <w:pPr>
      <w:spacing w:before="100" w:beforeAutospacing="1" w:after="100" w:afterAutospacing="1"/>
      <w:shd w:val="clear" w:color="000000" w:fill="ffffff"/>
      <w:pBdr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151" w:customStyle="1">
    <w:name w:val="xl145"/>
    <w:basedOn w:val="1003"/>
    <w:pPr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52" w:customStyle="1">
    <w:name w:val="xl146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153" w:customStyle="1">
    <w:name w:val="xl147"/>
    <w:basedOn w:val="1003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54" w:customStyle="1">
    <w:name w:val="xl148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155" w:customStyle="1">
    <w:name w:val="xl149"/>
    <w:basedOn w:val="1003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56" w:customStyle="1">
    <w:name w:val="xl150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57" w:customStyle="1">
    <w:name w:val="xl151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b/>
      <w:bCs/>
      <w:i/>
      <w:iCs/>
    </w:rPr>
  </w:style>
  <w:style w:type="paragraph" w:styleId="1158" w:customStyle="1">
    <w:name w:val="xl152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</w:pBdr>
    </w:pPr>
    <w:rPr>
      <w:b/>
      <w:bCs/>
      <w:i/>
      <w:iCs/>
    </w:rPr>
  </w:style>
  <w:style w:type="paragraph" w:styleId="1159" w:customStyle="1">
    <w:name w:val="xl153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i/>
      <w:iCs/>
    </w:rPr>
  </w:style>
  <w:style w:type="paragraph" w:styleId="1160" w:customStyle="1">
    <w:name w:val="xl154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</w:style>
  <w:style w:type="paragraph" w:styleId="1161" w:customStyle="1">
    <w:name w:val="xl155"/>
    <w:basedOn w:val="1003"/>
    <w:pPr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162" w:customStyle="1">
    <w:name w:val="xl156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63" w:customStyle="1">
    <w:name w:val="xl157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color w:val="000000"/>
    </w:rPr>
  </w:style>
  <w:style w:type="paragraph" w:styleId="1164" w:customStyle="1">
    <w:name w:val="xl158"/>
    <w:basedOn w:val="1003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color w:val="000000"/>
    </w:rPr>
  </w:style>
  <w:style w:type="paragraph" w:styleId="1165" w:customStyle="1">
    <w:name w:val="xl159"/>
    <w:basedOn w:val="1003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66" w:customStyle="1">
    <w:name w:val="xl160"/>
    <w:basedOn w:val="1003"/>
    <w:pPr>
      <w:spacing w:before="100" w:beforeAutospacing="1" w:after="100" w:afterAutospacing="1"/>
      <w:shd w:val="clear" w:color="000000" w:fill="ffffff"/>
      <w:pBdr>
        <w:left w:val="single" w:color="000000" w:sz="4" w:space="0"/>
        <w:right w:val="single" w:color="000000" w:sz="4" w:space="0"/>
      </w:pBdr>
    </w:pPr>
    <w:rPr>
      <w:b/>
      <w:bCs/>
    </w:rPr>
  </w:style>
  <w:style w:type="paragraph" w:styleId="1167" w:customStyle="1">
    <w:name w:val="xl161"/>
    <w:basedOn w:val="1003"/>
    <w:pPr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</w:rPr>
  </w:style>
  <w:style w:type="paragraph" w:styleId="1168" w:customStyle="1">
    <w:name w:val="xl162"/>
    <w:basedOn w:val="1003"/>
    <w:pPr>
      <w:jc w:val="center"/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169" w:customStyle="1">
    <w:name w:val="xl163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b/>
      <w:bCs/>
      <w:i/>
      <w:iCs/>
      <w:color w:val="000000"/>
    </w:rPr>
  </w:style>
  <w:style w:type="paragraph" w:styleId="1170" w:customStyle="1">
    <w:name w:val="xl164"/>
    <w:basedOn w:val="1003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b/>
      <w:bCs/>
      <w:i/>
      <w:iCs/>
      <w:color w:val="000000"/>
    </w:rPr>
  </w:style>
  <w:style w:type="paragraph" w:styleId="1171" w:customStyle="1">
    <w:name w:val="xl165"/>
    <w:basedOn w:val="1003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i/>
      <w:iCs/>
      <w:color w:val="000000"/>
    </w:rPr>
  </w:style>
  <w:style w:type="paragraph" w:styleId="1172" w:customStyle="1">
    <w:name w:val="xl166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b/>
      <w:bCs/>
      <w:i/>
      <w:iCs/>
    </w:rPr>
  </w:style>
  <w:style w:type="paragraph" w:styleId="1173" w:customStyle="1">
    <w:name w:val="xl167"/>
    <w:basedOn w:val="1003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b/>
      <w:bCs/>
      <w:i/>
      <w:iCs/>
    </w:rPr>
  </w:style>
  <w:style w:type="paragraph" w:styleId="1174" w:customStyle="1">
    <w:name w:val="xl168"/>
    <w:basedOn w:val="1003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b/>
      <w:bCs/>
      <w:i/>
      <w:iCs/>
    </w:rPr>
  </w:style>
  <w:style w:type="paragraph" w:styleId="1175" w:customStyle="1">
    <w:name w:val="xl169"/>
    <w:basedOn w:val="1003"/>
    <w:pPr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  <w:rPr>
      <w:b/>
      <w:bCs/>
      <w:color w:val="000000"/>
    </w:rPr>
  </w:style>
  <w:style w:type="paragraph" w:styleId="1176" w:customStyle="1">
    <w:name w:val="xl170"/>
    <w:basedOn w:val="1003"/>
    <w:pPr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000000"/>
    </w:rPr>
  </w:style>
  <w:style w:type="paragraph" w:styleId="1177" w:customStyle="1">
    <w:name w:val="xl171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178" w:customStyle="1">
    <w:name w:val="xl172"/>
    <w:basedOn w:val="1003"/>
    <w:pPr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79" w:customStyle="1">
    <w:name w:val="xl173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ff0000"/>
    </w:rPr>
  </w:style>
  <w:style w:type="paragraph" w:styleId="1180" w:customStyle="1">
    <w:name w:val="xl174"/>
    <w:basedOn w:val="1003"/>
    <w:pPr>
      <w:jc w:val="center"/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  <w:rPr>
      <w:color w:val="ff0000"/>
    </w:rPr>
  </w:style>
  <w:style w:type="paragraph" w:styleId="1181" w:customStyle="1">
    <w:name w:val="xl175"/>
    <w:basedOn w:val="100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ff0000"/>
    </w:rPr>
  </w:style>
  <w:style w:type="paragraph" w:styleId="1182" w:customStyle="1">
    <w:name w:val="xl176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i/>
      <w:iCs/>
    </w:rPr>
  </w:style>
  <w:style w:type="paragraph" w:styleId="1183" w:customStyle="1">
    <w:name w:val="xl177"/>
    <w:basedOn w:val="1003"/>
    <w:pPr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  <w:rPr>
      <w:b/>
      <w:bCs/>
    </w:rPr>
  </w:style>
  <w:style w:type="paragraph" w:styleId="1184" w:customStyle="1">
    <w:name w:val="xl178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</w:style>
  <w:style w:type="paragraph" w:styleId="1185" w:customStyle="1">
    <w:name w:val="xl179"/>
    <w:basedOn w:val="100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8" w:space="0"/>
      </w:pBdr>
    </w:pPr>
    <w:rPr>
      <w:color w:val="000000"/>
    </w:rPr>
  </w:style>
  <w:style w:type="paragraph" w:styleId="1186" w:customStyle="1">
    <w:name w:val="xl180"/>
    <w:basedOn w:val="1003"/>
    <w:pPr>
      <w:jc w:val="center"/>
      <w:spacing w:before="100" w:beforeAutospacing="1" w:after="100" w:afterAutospacing="1"/>
      <w:pBdr>
        <w:bottom w:val="single" w:color="000000" w:sz="8" w:space="0"/>
      </w:pBdr>
    </w:pPr>
    <w:rPr>
      <w:color w:val="000000"/>
    </w:rPr>
  </w:style>
  <w:style w:type="paragraph" w:styleId="1187" w:customStyle="1">
    <w:name w:val="xl181"/>
    <w:basedOn w:val="1003"/>
    <w:pPr>
      <w:jc w:val="center"/>
      <w:spacing w:before="100" w:beforeAutospacing="1" w:after="100" w:afterAutospacing="1"/>
      <w:pBdr>
        <w:bottom w:val="single" w:color="000000" w:sz="8" w:space="0"/>
        <w:right w:val="single" w:color="000000" w:sz="4" w:space="0"/>
      </w:pBdr>
    </w:pPr>
    <w:rPr>
      <w:color w:val="000000"/>
    </w:rPr>
  </w:style>
  <w:style w:type="paragraph" w:styleId="1188" w:customStyle="1">
    <w:name w:val="xl182"/>
    <w:basedOn w:val="1003"/>
    <w:pPr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</w:rPr>
  </w:style>
  <w:style w:type="paragraph" w:styleId="1189" w:customStyle="1">
    <w:name w:val="xl183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color w:val="000000"/>
    </w:rPr>
  </w:style>
  <w:style w:type="paragraph" w:styleId="1190" w:customStyle="1">
    <w:name w:val="xl184"/>
    <w:basedOn w:val="1003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color w:val="000000"/>
    </w:rPr>
  </w:style>
  <w:style w:type="paragraph" w:styleId="1191" w:customStyle="1">
    <w:name w:val="xl185"/>
    <w:basedOn w:val="1003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192" w:customStyle="1">
    <w:name w:val="xl186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</w:style>
  <w:style w:type="paragraph" w:styleId="1193" w:customStyle="1">
    <w:name w:val="xl187"/>
    <w:basedOn w:val="1003"/>
    <w:pPr>
      <w:jc w:val="center"/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</w:style>
  <w:style w:type="paragraph" w:styleId="1194" w:customStyle="1">
    <w:name w:val="xl188"/>
    <w:basedOn w:val="100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195" w:customStyle="1">
    <w:name w:val="xl189"/>
    <w:basedOn w:val="1003"/>
    <w:pPr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</w:style>
  <w:style w:type="paragraph" w:styleId="1196" w:customStyle="1">
    <w:name w:val="xl190"/>
    <w:basedOn w:val="1003"/>
    <w:pPr>
      <w:spacing w:before="100" w:beforeAutospacing="1" w:after="100" w:afterAutospacing="1"/>
      <w:shd w:val="clear" w:color="000000" w:fill="ffffff"/>
      <w:pBdr>
        <w:left w:val="single" w:color="000000" w:sz="4" w:space="0"/>
        <w:right w:val="single" w:color="000000" w:sz="4" w:space="0"/>
      </w:pBdr>
    </w:pPr>
  </w:style>
  <w:style w:type="paragraph" w:styleId="1197" w:customStyle="1">
    <w:name w:val="xl191"/>
    <w:basedOn w:val="1003"/>
    <w:pPr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198" w:customStyle="1">
    <w:name w:val="xl192"/>
    <w:basedOn w:val="100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</w:pBdr>
    </w:pPr>
    <w:rPr>
      <w:color w:val="000000"/>
    </w:rPr>
  </w:style>
  <w:style w:type="paragraph" w:styleId="1199" w:customStyle="1">
    <w:name w:val="xl193"/>
    <w:basedOn w:val="1003"/>
    <w:pPr>
      <w:jc w:val="center"/>
      <w:spacing w:before="100" w:beforeAutospacing="1" w:after="100" w:afterAutospacing="1"/>
      <w:pBdr>
        <w:bottom w:val="single" w:color="000000" w:sz="4" w:space="0"/>
      </w:pBdr>
    </w:pPr>
    <w:rPr>
      <w:color w:val="000000"/>
    </w:rPr>
  </w:style>
  <w:style w:type="paragraph" w:styleId="1200" w:customStyle="1">
    <w:name w:val="xl194"/>
    <w:basedOn w:val="1003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201" w:customStyle="1">
    <w:name w:val="xl195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color w:val="000000"/>
    </w:rPr>
  </w:style>
  <w:style w:type="paragraph" w:styleId="1202" w:customStyle="1">
    <w:name w:val="xl196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</w:pBdr>
    </w:pPr>
    <w:rPr>
      <w:color w:val="000000"/>
    </w:rPr>
  </w:style>
  <w:style w:type="paragraph" w:styleId="1203" w:customStyle="1">
    <w:name w:val="xl197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204" w:customStyle="1">
    <w:name w:val="xl198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</w:pBdr>
    </w:pPr>
    <w:rPr>
      <w:color w:val="000000"/>
    </w:rPr>
  </w:style>
  <w:style w:type="paragraph" w:styleId="1205" w:customStyle="1">
    <w:name w:val="xl199"/>
    <w:basedOn w:val="1003"/>
    <w:pPr>
      <w:jc w:val="center"/>
      <w:spacing w:before="100" w:beforeAutospacing="1" w:after="100" w:afterAutospacing="1"/>
      <w:pBdr>
        <w:top w:val="single" w:color="000000" w:sz="4" w:space="0"/>
      </w:pBdr>
    </w:pPr>
    <w:rPr>
      <w:color w:val="000000"/>
    </w:rPr>
  </w:style>
  <w:style w:type="paragraph" w:styleId="1206" w:customStyle="1">
    <w:name w:val="xl200"/>
    <w:basedOn w:val="1003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000000"/>
    </w:rPr>
  </w:style>
  <w:style w:type="paragraph" w:styleId="1207" w:customStyle="1">
    <w:name w:val="xl201"/>
    <w:basedOn w:val="1003"/>
    <w:pPr>
      <w:jc w:val="center"/>
      <w:spacing w:before="100" w:beforeAutospacing="1" w:after="100" w:afterAutospacing="1"/>
      <w:pBdr>
        <w:left w:val="single" w:color="000000" w:sz="4" w:space="0"/>
      </w:pBdr>
    </w:pPr>
    <w:rPr>
      <w:color w:val="000000"/>
    </w:rPr>
  </w:style>
  <w:style w:type="paragraph" w:styleId="1208" w:customStyle="1">
    <w:name w:val="xl202"/>
    <w:basedOn w:val="1003"/>
    <w:pPr>
      <w:jc w:val="center"/>
      <w:spacing w:before="100" w:beforeAutospacing="1" w:after="100" w:afterAutospacing="1"/>
    </w:pPr>
    <w:rPr>
      <w:color w:val="000000"/>
    </w:rPr>
  </w:style>
  <w:style w:type="paragraph" w:styleId="1209" w:customStyle="1">
    <w:name w:val="xl203"/>
    <w:basedOn w:val="1003"/>
    <w:pPr>
      <w:jc w:val="center"/>
      <w:spacing w:before="100" w:beforeAutospacing="1" w:after="100" w:afterAutospacing="1"/>
      <w:pBdr>
        <w:right w:val="single" w:color="000000" w:sz="4" w:space="0"/>
      </w:pBdr>
    </w:pPr>
    <w:rPr>
      <w:color w:val="000000"/>
    </w:rPr>
  </w:style>
  <w:style w:type="paragraph" w:styleId="1210" w:customStyle="1">
    <w:name w:val="xl204"/>
    <w:basedOn w:val="100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</w:pBdr>
    </w:pPr>
    <w:rPr>
      <w:color w:val="000000"/>
    </w:rPr>
  </w:style>
  <w:style w:type="paragraph" w:styleId="1211" w:customStyle="1">
    <w:name w:val="xl205"/>
    <w:basedOn w:val="1003"/>
    <w:pPr>
      <w:jc w:val="center"/>
      <w:spacing w:before="100" w:beforeAutospacing="1" w:after="100" w:afterAutospacing="1"/>
      <w:pBdr>
        <w:bottom w:val="single" w:color="000000" w:sz="4" w:space="0"/>
      </w:pBdr>
    </w:pPr>
    <w:rPr>
      <w:color w:val="000000"/>
    </w:rPr>
  </w:style>
  <w:style w:type="paragraph" w:styleId="1212" w:customStyle="1">
    <w:name w:val="xl206"/>
    <w:basedOn w:val="1003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213" w:customStyle="1">
    <w:name w:val="xl207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i/>
      <w:iCs/>
    </w:rPr>
  </w:style>
  <w:style w:type="paragraph" w:styleId="1214" w:customStyle="1">
    <w:name w:val="xl208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215" w:customStyle="1">
    <w:name w:val="xl209"/>
    <w:basedOn w:val="1003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216" w:customStyle="1">
    <w:name w:val="xl210"/>
    <w:basedOn w:val="1003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217" w:customStyle="1">
    <w:name w:val="xl211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218" w:customStyle="1">
    <w:name w:val="xl212"/>
    <w:basedOn w:val="1003"/>
    <w:pPr>
      <w:jc w:val="center"/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219" w:customStyle="1">
    <w:name w:val="xl213"/>
    <w:basedOn w:val="100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220" w:customStyle="1">
    <w:name w:val="xl214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right w:val="single" w:color="000000" w:sz="4" w:space="0"/>
      </w:pBdr>
    </w:pPr>
  </w:style>
  <w:style w:type="paragraph" w:styleId="1221" w:customStyle="1">
    <w:name w:val="xl215"/>
    <w:basedOn w:val="1003"/>
    <w:pPr>
      <w:jc w:val="center"/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</w:style>
  <w:style w:type="paragraph" w:styleId="1222" w:customStyle="1">
    <w:name w:val="xl216"/>
    <w:basedOn w:val="100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223" w:customStyle="1">
    <w:name w:val="xl217"/>
    <w:basedOn w:val="1003"/>
    <w:pPr>
      <w:spacing w:before="100" w:beforeAutospacing="1" w:after="100" w:afterAutospacing="1"/>
      <w:pBdr>
        <w:left w:val="single" w:color="000000" w:sz="4" w:space="0"/>
        <w:right w:val="single" w:color="000000" w:sz="4" w:space="0"/>
      </w:pBdr>
    </w:pPr>
    <w:rPr>
      <w:b/>
      <w:bCs/>
      <w:color w:val="ff0000"/>
    </w:rPr>
  </w:style>
  <w:style w:type="paragraph" w:styleId="1224" w:customStyle="1">
    <w:name w:val="xl218"/>
    <w:basedOn w:val="1003"/>
    <w:pPr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  <w:rPr>
      <w:b/>
      <w:bCs/>
      <w:color w:val="ff0000"/>
    </w:rPr>
  </w:style>
  <w:style w:type="paragraph" w:styleId="1225" w:customStyle="1">
    <w:name w:val="xl219"/>
    <w:basedOn w:val="1003"/>
    <w:pPr>
      <w:spacing w:before="100" w:beforeAutospacing="1" w:after="100" w:afterAutospacing="1"/>
    </w:pPr>
    <w:rPr>
      <w:b/>
      <w:bCs/>
      <w:color w:val="000000"/>
    </w:rPr>
  </w:style>
  <w:style w:type="paragraph" w:styleId="1226" w:customStyle="1">
    <w:name w:val="xl220"/>
    <w:basedOn w:val="1003"/>
    <w:pPr>
      <w:jc w:val="center"/>
      <w:spacing w:before="100" w:beforeAutospacing="1" w:after="100" w:afterAutospacing="1"/>
    </w:pPr>
    <w:rPr>
      <w:b/>
      <w:bCs/>
      <w:color w:val="000000"/>
      <w:sz w:val="28"/>
      <w:szCs w:val="28"/>
    </w:rPr>
  </w:style>
  <w:style w:type="paragraph" w:styleId="1227" w:customStyle="1">
    <w:name w:val="xl221"/>
    <w:basedOn w:val="1003"/>
    <w:pPr>
      <w:spacing w:before="100" w:beforeAutospacing="1" w:after="100" w:afterAutospacing="1"/>
      <w:pBdr>
        <w:left w:val="single" w:color="000000" w:sz="4" w:space="0"/>
        <w:bottom w:val="single" w:color="000000" w:sz="4" w:space="0"/>
        <w:right w:val="single" w:color="000000" w:sz="4" w:space="0"/>
      </w:pBdr>
    </w:pPr>
  </w:style>
  <w:style w:type="paragraph" w:styleId="1228" w:customStyle="1">
    <w:name w:val="xl222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</w:pBdr>
    </w:pPr>
  </w:style>
  <w:style w:type="paragraph" w:styleId="1229" w:customStyle="1">
    <w:name w:val="xl223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</w:pBdr>
    </w:pPr>
  </w:style>
  <w:style w:type="paragraph" w:styleId="1230" w:customStyle="1">
    <w:name w:val="xl224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right w:val="single" w:color="000000" w:sz="4" w:space="0"/>
      </w:pBdr>
    </w:pPr>
  </w:style>
  <w:style w:type="paragraph" w:styleId="1231" w:customStyle="1">
    <w:name w:val="xl225"/>
    <w:basedOn w:val="1003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</w:pBdr>
    </w:pPr>
  </w:style>
  <w:style w:type="paragraph" w:styleId="1232" w:customStyle="1">
    <w:name w:val="xl226"/>
    <w:basedOn w:val="1003"/>
    <w:pPr>
      <w:jc w:val="center"/>
      <w:spacing w:before="100" w:beforeAutospacing="1" w:after="100" w:afterAutospacing="1"/>
      <w:shd w:val="clear" w:color="000000" w:fill="ffffff"/>
    </w:pPr>
  </w:style>
  <w:style w:type="paragraph" w:styleId="1233" w:customStyle="1">
    <w:name w:val="xl227"/>
    <w:basedOn w:val="1003"/>
    <w:pPr>
      <w:jc w:val="center"/>
      <w:spacing w:before="100" w:beforeAutospacing="1" w:after="100" w:afterAutospacing="1"/>
      <w:shd w:val="clear" w:color="000000" w:fill="ffffff"/>
      <w:pBdr>
        <w:right w:val="single" w:color="000000" w:sz="4" w:space="0"/>
      </w:pBdr>
    </w:pPr>
  </w:style>
  <w:style w:type="paragraph" w:styleId="1234" w:customStyle="1">
    <w:name w:val="xl228"/>
    <w:basedOn w:val="1003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</w:pBdr>
    </w:pPr>
  </w:style>
  <w:style w:type="paragraph" w:styleId="1235" w:customStyle="1">
    <w:name w:val="xl229"/>
    <w:basedOn w:val="1003"/>
    <w:pPr>
      <w:jc w:val="center"/>
      <w:spacing w:before="100" w:beforeAutospacing="1" w:after="100" w:afterAutospacing="1"/>
      <w:shd w:val="clear" w:color="000000" w:fill="ffffff"/>
      <w:pBdr>
        <w:bottom w:val="single" w:color="000000" w:sz="4" w:space="0"/>
      </w:pBdr>
    </w:pPr>
  </w:style>
  <w:style w:type="paragraph" w:styleId="1236" w:customStyle="1">
    <w:name w:val="xl230"/>
    <w:basedOn w:val="1003"/>
    <w:pPr>
      <w:jc w:val="center"/>
      <w:spacing w:before="100" w:beforeAutospacing="1" w:after="100" w:afterAutospacing="1"/>
      <w:shd w:val="clear" w:color="000000" w:fill="ffffff"/>
      <w:pBdr>
        <w:bottom w:val="single" w:color="000000" w:sz="4" w:space="0"/>
        <w:right w:val="single" w:color="000000" w:sz="4" w:space="0"/>
      </w:pBdr>
    </w:pPr>
  </w:style>
  <w:style w:type="paragraph" w:styleId="1237" w:customStyle="1">
    <w:name w:val="xl231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</w:pBdr>
    </w:pPr>
    <w:rPr>
      <w:color w:val="000000"/>
    </w:rPr>
  </w:style>
  <w:style w:type="paragraph" w:styleId="1238" w:customStyle="1">
    <w:name w:val="xl232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</w:pBdr>
    </w:pPr>
    <w:rPr>
      <w:color w:val="000000"/>
    </w:rPr>
  </w:style>
  <w:style w:type="paragraph" w:styleId="1239" w:customStyle="1">
    <w:name w:val="xl233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right w:val="single" w:color="000000" w:sz="4" w:space="0"/>
      </w:pBdr>
    </w:pPr>
    <w:rPr>
      <w:color w:val="000000"/>
    </w:rPr>
  </w:style>
  <w:style w:type="paragraph" w:styleId="1240" w:customStyle="1">
    <w:name w:val="xl234"/>
    <w:basedOn w:val="1003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</w:pBdr>
    </w:pPr>
    <w:rPr>
      <w:color w:val="000000"/>
    </w:rPr>
  </w:style>
  <w:style w:type="paragraph" w:styleId="1241" w:customStyle="1">
    <w:name w:val="xl235"/>
    <w:basedOn w:val="1003"/>
    <w:pPr>
      <w:jc w:val="center"/>
      <w:spacing w:before="100" w:beforeAutospacing="1" w:after="100" w:afterAutospacing="1"/>
      <w:shd w:val="clear" w:color="000000" w:fill="ffffff"/>
    </w:pPr>
    <w:rPr>
      <w:color w:val="000000"/>
    </w:rPr>
  </w:style>
  <w:style w:type="paragraph" w:styleId="1242" w:customStyle="1">
    <w:name w:val="xl236"/>
    <w:basedOn w:val="1003"/>
    <w:pPr>
      <w:jc w:val="center"/>
      <w:spacing w:before="100" w:beforeAutospacing="1" w:after="100" w:afterAutospacing="1"/>
      <w:shd w:val="clear" w:color="000000" w:fill="ffffff"/>
      <w:pBdr>
        <w:right w:val="single" w:color="000000" w:sz="4" w:space="0"/>
      </w:pBdr>
    </w:pPr>
    <w:rPr>
      <w:color w:val="000000"/>
    </w:rPr>
  </w:style>
  <w:style w:type="paragraph" w:styleId="1243" w:customStyle="1">
    <w:name w:val="xl237"/>
    <w:basedOn w:val="1003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right w:val="single" w:color="000000" w:sz="4" w:space="0"/>
      </w:pBdr>
    </w:pPr>
    <w:rPr>
      <w:color w:val="000000"/>
    </w:rPr>
  </w:style>
  <w:style w:type="paragraph" w:styleId="1244" w:customStyle="1">
    <w:name w:val="xl238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left w:val="single" w:color="000000" w:sz="4" w:space="0"/>
      </w:pBdr>
    </w:pPr>
    <w:rPr>
      <w:color w:val="000000"/>
    </w:rPr>
  </w:style>
  <w:style w:type="paragraph" w:styleId="1245" w:customStyle="1">
    <w:name w:val="xl239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</w:pBdr>
    </w:pPr>
    <w:rPr>
      <w:color w:val="000000"/>
    </w:rPr>
  </w:style>
  <w:style w:type="paragraph" w:styleId="1246" w:customStyle="1">
    <w:name w:val="xl240"/>
    <w:basedOn w:val="1003"/>
    <w:pPr>
      <w:jc w:val="center"/>
      <w:spacing w:before="100" w:beforeAutospacing="1" w:after="100" w:afterAutospacing="1"/>
      <w:shd w:val="clear" w:color="000000" w:fill="ffffff"/>
      <w:pBdr>
        <w:top w:val="single" w:color="000000" w:sz="4" w:space="0"/>
        <w:right w:val="single" w:color="000000" w:sz="4" w:space="0"/>
      </w:pBdr>
    </w:pPr>
    <w:rPr>
      <w:color w:val="000000"/>
    </w:rPr>
  </w:style>
  <w:style w:type="paragraph" w:styleId="1247" w:customStyle="1">
    <w:name w:val="xl241"/>
    <w:basedOn w:val="1003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</w:pBdr>
    </w:pPr>
    <w:rPr>
      <w:color w:val="000000"/>
    </w:rPr>
  </w:style>
  <w:style w:type="paragraph" w:styleId="1248" w:customStyle="1">
    <w:name w:val="xl242"/>
    <w:basedOn w:val="1003"/>
    <w:pPr>
      <w:jc w:val="center"/>
      <w:spacing w:before="100" w:beforeAutospacing="1" w:after="100" w:afterAutospacing="1"/>
      <w:shd w:val="clear" w:color="000000" w:fill="ffffff"/>
    </w:pPr>
    <w:rPr>
      <w:color w:val="000000"/>
    </w:rPr>
  </w:style>
  <w:style w:type="paragraph" w:styleId="1249" w:customStyle="1">
    <w:name w:val="xl243"/>
    <w:basedOn w:val="1003"/>
    <w:pPr>
      <w:jc w:val="center"/>
      <w:spacing w:before="100" w:beforeAutospacing="1" w:after="100" w:afterAutospacing="1"/>
      <w:shd w:val="clear" w:color="000000" w:fill="ffffff"/>
      <w:pBdr>
        <w:right w:val="single" w:color="000000" w:sz="4" w:space="0"/>
      </w:pBdr>
    </w:pPr>
    <w:rPr>
      <w:color w:val="000000"/>
    </w:rPr>
  </w:style>
  <w:style w:type="paragraph" w:styleId="1250" w:customStyle="1">
    <w:name w:val="xl244"/>
    <w:basedOn w:val="1003"/>
    <w:pPr>
      <w:jc w:val="center"/>
      <w:spacing w:before="100" w:beforeAutospacing="1" w:after="100" w:afterAutospacing="1"/>
      <w:shd w:val="clear" w:color="000000" w:fill="ffffff"/>
      <w:pBdr>
        <w:left w:val="single" w:color="000000" w:sz="4" w:space="0"/>
        <w:bottom w:val="single" w:color="000000" w:sz="4" w:space="0"/>
      </w:pBdr>
    </w:pPr>
    <w:rPr>
      <w:color w:val="000000"/>
    </w:rPr>
  </w:style>
  <w:style w:type="paragraph" w:styleId="1251" w:customStyle="1">
    <w:name w:val="xl245"/>
    <w:basedOn w:val="1003"/>
    <w:pPr>
      <w:jc w:val="center"/>
      <w:spacing w:before="100" w:beforeAutospacing="1" w:after="100" w:afterAutospacing="1"/>
      <w:shd w:val="clear" w:color="000000" w:fill="ffffff"/>
      <w:pBdr>
        <w:bottom w:val="single" w:color="000000" w:sz="4" w:space="0"/>
      </w:pBdr>
    </w:pPr>
    <w:rPr>
      <w:color w:val="000000"/>
    </w:rPr>
  </w:style>
  <w:style w:type="paragraph" w:styleId="1252" w:customStyle="1">
    <w:name w:val="xl246"/>
    <w:basedOn w:val="1003"/>
    <w:pPr>
      <w:jc w:val="center"/>
      <w:spacing w:before="100" w:beforeAutospacing="1" w:after="100" w:afterAutospacing="1"/>
      <w:shd w:val="clear" w:color="000000" w:fill="ffffff"/>
      <w:pBdr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253" w:customStyle="1">
    <w:name w:val="xl247"/>
    <w:basedOn w:val="1003"/>
    <w:pPr>
      <w:spacing w:before="100" w:beforeAutospacing="1" w:after="100" w:afterAutospacing="1"/>
      <w:pBdr>
        <w:top w:val="single" w:color="000000" w:sz="4" w:space="0"/>
        <w:left w:val="single" w:color="000000" w:sz="4" w:space="0"/>
      </w:pBdr>
    </w:pPr>
    <w:rPr>
      <w:color w:val="000000"/>
    </w:rPr>
  </w:style>
  <w:style w:type="paragraph" w:styleId="1254" w:customStyle="1">
    <w:name w:val="xl248"/>
    <w:basedOn w:val="1003"/>
    <w:pPr>
      <w:spacing w:before="100" w:beforeAutospacing="1" w:after="100" w:afterAutospacing="1"/>
      <w:pBdr>
        <w:top w:val="single" w:color="000000" w:sz="4" w:space="0"/>
      </w:pBdr>
    </w:pPr>
    <w:rPr>
      <w:color w:val="000000"/>
    </w:rPr>
  </w:style>
  <w:style w:type="paragraph" w:styleId="1255" w:customStyle="1">
    <w:name w:val="xl249"/>
    <w:basedOn w:val="1003"/>
    <w:pPr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  <w:rPr>
      <w:color w:val="000000"/>
    </w:rPr>
  </w:style>
  <w:style w:type="paragraph" w:styleId="1256" w:customStyle="1">
    <w:name w:val="xl250"/>
    <w:basedOn w:val="1003"/>
    <w:pPr>
      <w:spacing w:before="100" w:beforeAutospacing="1" w:after="100" w:afterAutospacing="1"/>
      <w:pBdr>
        <w:left w:val="single" w:color="000000" w:sz="4" w:space="0"/>
      </w:pBdr>
    </w:pPr>
    <w:rPr>
      <w:color w:val="000000"/>
    </w:rPr>
  </w:style>
  <w:style w:type="paragraph" w:styleId="1257" w:customStyle="1">
    <w:name w:val="xl251"/>
    <w:basedOn w:val="1003"/>
    <w:pPr>
      <w:spacing w:before="100" w:beforeAutospacing="1" w:after="100" w:afterAutospacing="1"/>
    </w:pPr>
    <w:rPr>
      <w:color w:val="000000"/>
    </w:rPr>
  </w:style>
  <w:style w:type="paragraph" w:styleId="1258" w:customStyle="1">
    <w:name w:val="xl252"/>
    <w:basedOn w:val="1003"/>
    <w:pPr>
      <w:spacing w:before="100" w:beforeAutospacing="1" w:after="100" w:afterAutospacing="1"/>
      <w:pBdr>
        <w:right w:val="single" w:color="000000" w:sz="4" w:space="0"/>
      </w:pBdr>
    </w:pPr>
    <w:rPr>
      <w:color w:val="000000"/>
    </w:rPr>
  </w:style>
  <w:style w:type="paragraph" w:styleId="1259" w:customStyle="1">
    <w:name w:val="xl253"/>
    <w:basedOn w:val="1003"/>
    <w:pPr>
      <w:spacing w:before="100" w:beforeAutospacing="1" w:after="100" w:afterAutospacing="1"/>
      <w:pBdr>
        <w:left w:val="single" w:color="000000" w:sz="4" w:space="0"/>
        <w:bottom w:val="single" w:color="000000" w:sz="4" w:space="0"/>
      </w:pBdr>
    </w:pPr>
    <w:rPr>
      <w:color w:val="000000"/>
    </w:rPr>
  </w:style>
  <w:style w:type="paragraph" w:styleId="1260" w:customStyle="1">
    <w:name w:val="xl254"/>
    <w:basedOn w:val="1003"/>
    <w:pPr>
      <w:spacing w:before="100" w:beforeAutospacing="1" w:after="100" w:afterAutospacing="1"/>
      <w:pBdr>
        <w:bottom w:val="single" w:color="000000" w:sz="4" w:space="0"/>
      </w:pBdr>
    </w:pPr>
    <w:rPr>
      <w:color w:val="000000"/>
    </w:rPr>
  </w:style>
  <w:style w:type="paragraph" w:styleId="1261" w:customStyle="1">
    <w:name w:val="xl255"/>
    <w:basedOn w:val="1003"/>
    <w:pPr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262" w:customStyle="1">
    <w:name w:val="xl256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  <w:bottom w:val="single" w:color="000000" w:sz="4" w:space="0"/>
      </w:pBdr>
    </w:pPr>
    <w:rPr>
      <w:color w:val="000000"/>
    </w:rPr>
  </w:style>
  <w:style w:type="paragraph" w:styleId="1263" w:customStyle="1">
    <w:name w:val="xl257"/>
    <w:basedOn w:val="1003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</w:pBdr>
    </w:pPr>
    <w:rPr>
      <w:color w:val="000000"/>
    </w:rPr>
  </w:style>
  <w:style w:type="paragraph" w:styleId="1264" w:customStyle="1">
    <w:name w:val="xl258"/>
    <w:basedOn w:val="1003"/>
    <w:pPr>
      <w:jc w:val="center"/>
      <w:spacing w:before="100" w:beforeAutospacing="1" w:after="100" w:afterAutospacing="1"/>
      <w:pBdr>
        <w:top w:val="single" w:color="000000" w:sz="4" w:space="0"/>
        <w:bottom w:val="single" w:color="000000" w:sz="4" w:space="0"/>
        <w:right w:val="single" w:color="000000" w:sz="4" w:space="0"/>
      </w:pBdr>
    </w:pPr>
    <w:rPr>
      <w:color w:val="000000"/>
    </w:rPr>
  </w:style>
  <w:style w:type="paragraph" w:styleId="1265" w:customStyle="1">
    <w:name w:val="xl259"/>
    <w:basedOn w:val="1003"/>
    <w:pPr>
      <w:jc w:val="center"/>
      <w:spacing w:before="100" w:beforeAutospacing="1" w:after="100" w:afterAutospacing="1"/>
      <w:pBdr>
        <w:top w:val="single" w:color="000000" w:sz="4" w:space="0"/>
        <w:left w:val="single" w:color="000000" w:sz="4" w:space="0"/>
      </w:pBdr>
    </w:pPr>
  </w:style>
  <w:style w:type="paragraph" w:styleId="1266" w:customStyle="1">
    <w:name w:val="xl260"/>
    <w:basedOn w:val="1003"/>
    <w:pPr>
      <w:jc w:val="center"/>
      <w:spacing w:before="100" w:beforeAutospacing="1" w:after="100" w:afterAutospacing="1"/>
      <w:pBdr>
        <w:top w:val="single" w:color="000000" w:sz="4" w:space="0"/>
      </w:pBdr>
    </w:pPr>
  </w:style>
  <w:style w:type="paragraph" w:styleId="1267" w:customStyle="1">
    <w:name w:val="xl261"/>
    <w:basedOn w:val="1003"/>
    <w:pPr>
      <w:jc w:val="center"/>
      <w:spacing w:before="100" w:beforeAutospacing="1" w:after="100" w:afterAutospacing="1"/>
      <w:pBdr>
        <w:top w:val="single" w:color="000000" w:sz="4" w:space="0"/>
        <w:right w:val="single" w:color="000000" w:sz="4" w:space="0"/>
      </w:pBdr>
    </w:pPr>
  </w:style>
  <w:style w:type="paragraph" w:styleId="1268" w:customStyle="1">
    <w:name w:val="xl262"/>
    <w:basedOn w:val="1003"/>
    <w:pPr>
      <w:jc w:val="center"/>
      <w:spacing w:before="100" w:beforeAutospacing="1" w:after="100" w:afterAutospacing="1"/>
      <w:pBdr>
        <w:left w:val="single" w:color="000000" w:sz="4" w:space="0"/>
      </w:pBdr>
    </w:pPr>
  </w:style>
  <w:style w:type="paragraph" w:styleId="1269" w:customStyle="1">
    <w:name w:val="xl263"/>
    <w:basedOn w:val="1003"/>
    <w:pPr>
      <w:jc w:val="center"/>
      <w:spacing w:before="100" w:beforeAutospacing="1" w:after="100" w:afterAutospacing="1"/>
    </w:pPr>
  </w:style>
  <w:style w:type="paragraph" w:styleId="1270" w:customStyle="1">
    <w:name w:val="xl264"/>
    <w:basedOn w:val="1003"/>
    <w:pPr>
      <w:jc w:val="center"/>
      <w:spacing w:before="100" w:beforeAutospacing="1" w:after="100" w:afterAutospacing="1"/>
      <w:pBdr>
        <w:right w:val="single" w:color="000000" w:sz="4" w:space="0"/>
      </w:pBdr>
    </w:pPr>
  </w:style>
  <w:style w:type="paragraph" w:styleId="1271" w:customStyle="1">
    <w:name w:val="xl265"/>
    <w:basedOn w:val="1003"/>
    <w:pPr>
      <w:jc w:val="center"/>
      <w:spacing w:before="100" w:beforeAutospacing="1" w:after="100" w:afterAutospacing="1"/>
      <w:pBdr>
        <w:left w:val="single" w:color="000000" w:sz="4" w:space="0"/>
        <w:bottom w:val="single" w:color="000000" w:sz="4" w:space="0"/>
      </w:pBdr>
    </w:pPr>
  </w:style>
  <w:style w:type="paragraph" w:styleId="1272" w:customStyle="1">
    <w:name w:val="xl266"/>
    <w:basedOn w:val="1003"/>
    <w:pPr>
      <w:jc w:val="center"/>
      <w:spacing w:before="100" w:beforeAutospacing="1" w:after="100" w:afterAutospacing="1"/>
      <w:pBdr>
        <w:bottom w:val="single" w:color="000000" w:sz="4" w:space="0"/>
      </w:pBdr>
    </w:pPr>
  </w:style>
  <w:style w:type="paragraph" w:styleId="1273" w:customStyle="1">
    <w:name w:val="xl267"/>
    <w:basedOn w:val="1003"/>
    <w:pPr>
      <w:jc w:val="center"/>
      <w:spacing w:before="100" w:beforeAutospacing="1" w:after="100" w:afterAutospacing="1"/>
      <w:pBdr>
        <w:bottom w:val="single" w:color="000000" w:sz="4" w:space="0"/>
        <w:right w:val="single" w:color="000000" w:sz="4" w:space="0"/>
      </w:pBdr>
    </w:pPr>
  </w:style>
  <w:style w:type="character" w:styleId="1274" w:customStyle="1">
    <w:name w:val="Font Style12"/>
    <w:uiPriority w:val="99"/>
    <w:rPr>
      <w:rFonts w:ascii="Times New Roman" w:hAnsi="Times New Roman" w:cs="Times New Roman"/>
      <w:sz w:val="26"/>
      <w:szCs w:val="26"/>
    </w:rPr>
  </w:style>
  <w:style w:type="paragraph" w:styleId="1275" w:customStyle="1">
    <w:name w:val="Style2"/>
    <w:basedOn w:val="1003"/>
    <w:uiPriority w:val="99"/>
    <w:pPr>
      <w:ind w:firstLine="727"/>
      <w:jc w:val="both"/>
      <w:spacing w:line="328" w:lineRule="exact"/>
      <w:widowControl w:val="off"/>
    </w:pPr>
  </w:style>
  <w:style w:type="character" w:styleId="1276" w:customStyle="1">
    <w:name w:val="Font Style11"/>
    <w:uiPriority w:val="99"/>
    <w:rPr>
      <w:rFonts w:ascii="Times New Roman" w:hAnsi="Times New Roman" w:cs="Times New Roman"/>
      <w:b/>
      <w:bCs/>
      <w:spacing w:val="10"/>
      <w:sz w:val="24"/>
      <w:szCs w:val="24"/>
    </w:rPr>
  </w:style>
  <w:style w:type="character" w:styleId="1277" w:customStyle="1">
    <w:name w:val="Font Style13"/>
    <w:uiPriority w:val="99"/>
    <w:rPr>
      <w:rFonts w:ascii="Times New Roman" w:hAnsi="Times New Roman" w:cs="Times New Roman"/>
      <w:i/>
      <w:iCs/>
      <w:sz w:val="24"/>
      <w:szCs w:val="24"/>
    </w:rPr>
  </w:style>
  <w:style w:type="character" w:styleId="1278" w:customStyle="1">
    <w:name w:val="Body text (2)_"/>
    <w:basedOn w:val="1013"/>
    <w:link w:val="1282"/>
    <w:uiPriority w:val="99"/>
    <w:rPr>
      <w:spacing w:val="5"/>
      <w:sz w:val="25"/>
      <w:szCs w:val="25"/>
      <w:shd w:val="clear" w:color="auto" w:fill="ffffff"/>
    </w:rPr>
  </w:style>
  <w:style w:type="character" w:styleId="1279" w:customStyle="1">
    <w:name w:val="Body text (2) + Not Bold"/>
    <w:basedOn w:val="1278"/>
    <w:uiPriority w:val="99"/>
    <w:rPr>
      <w:b/>
      <w:bCs/>
      <w:spacing w:val="2"/>
      <w:sz w:val="25"/>
      <w:szCs w:val="25"/>
      <w:shd w:val="clear" w:color="auto" w:fill="ffffff"/>
    </w:rPr>
  </w:style>
  <w:style w:type="character" w:styleId="1280" w:customStyle="1">
    <w:name w:val="Body text_"/>
    <w:basedOn w:val="1013"/>
    <w:link w:val="1283"/>
    <w:uiPriority w:val="99"/>
    <w:rPr>
      <w:spacing w:val="2"/>
      <w:sz w:val="25"/>
      <w:szCs w:val="25"/>
      <w:shd w:val="clear" w:color="auto" w:fill="ffffff"/>
    </w:rPr>
  </w:style>
  <w:style w:type="character" w:styleId="1281" w:customStyle="1">
    <w:name w:val="Body text + Spacing -1 pt"/>
    <w:basedOn w:val="1280"/>
    <w:uiPriority w:val="99"/>
    <w:rPr>
      <w:spacing w:val="-30"/>
      <w:sz w:val="25"/>
      <w:szCs w:val="25"/>
      <w:shd w:val="clear" w:color="auto" w:fill="ffffff"/>
    </w:rPr>
  </w:style>
  <w:style w:type="paragraph" w:styleId="1282" w:customStyle="1">
    <w:name w:val="Body text (2)"/>
    <w:basedOn w:val="1003"/>
    <w:link w:val="1278"/>
    <w:uiPriority w:val="99"/>
    <w:pPr>
      <w:jc w:val="center"/>
      <w:spacing w:line="480" w:lineRule="exact"/>
      <w:shd w:val="clear" w:color="auto" w:fill="ffffff"/>
    </w:pPr>
    <w:rPr>
      <w:spacing w:val="5"/>
      <w:sz w:val="25"/>
      <w:szCs w:val="25"/>
    </w:rPr>
  </w:style>
  <w:style w:type="paragraph" w:styleId="1283" w:customStyle="1">
    <w:name w:val="Основной текст1"/>
    <w:basedOn w:val="1003"/>
    <w:link w:val="1280"/>
    <w:uiPriority w:val="99"/>
    <w:pPr>
      <w:ind w:firstLine="660"/>
      <w:jc w:val="both"/>
      <w:spacing w:line="480" w:lineRule="exact"/>
      <w:shd w:val="clear" w:color="auto" w:fill="ffffff"/>
    </w:pPr>
    <w:rPr>
      <w:spacing w:val="2"/>
      <w:sz w:val="25"/>
      <w:szCs w:val="25"/>
    </w:rPr>
  </w:style>
  <w:style w:type="paragraph" w:styleId="1284" w:customStyle="1">
    <w:name w:val="formattext"/>
    <w:basedOn w:val="1003"/>
    <w:pPr>
      <w:spacing w:before="100" w:beforeAutospacing="1" w:after="100" w:afterAutospacing="1"/>
    </w:pPr>
  </w:style>
  <w:style w:type="paragraph" w:styleId="1285" w:customStyle="1">
    <w:name w:val="Default"/>
    <w:rPr>
      <w:rFonts w:eastAsia="Calibri"/>
      <w:color w:val="000000"/>
      <w:sz w:val="24"/>
      <w:szCs w:val="24"/>
      <w:lang w:eastAsia="en-US"/>
    </w:rPr>
  </w:style>
  <w:style w:type="character" w:styleId="1286">
    <w:name w:val="Emphasis"/>
    <w:basedOn w:val="1013"/>
    <w:uiPriority w:val="20"/>
    <w:qFormat/>
    <w:rPr>
      <w:rFonts w:cs="Times New Roman"/>
      <w:i/>
      <w:iCs/>
    </w:rPr>
  </w:style>
  <w:style w:type="character" w:styleId="1287" w:customStyle="1">
    <w:name w:val="apple-converted-space"/>
    <w:basedOn w:val="1013"/>
    <w:rPr>
      <w:rFonts w:cs="Times New Roman"/>
    </w:rPr>
  </w:style>
  <w:style w:type="character" w:styleId="1288" w:customStyle="1">
    <w:name w:val="ConsPlusNormal Знак"/>
    <w:link w:val="1028"/>
    <w:rPr>
      <w:rFonts w:ascii="Arial" w:hAnsi="Arial" w:cs="Arial"/>
    </w:rPr>
  </w:style>
  <w:style w:type="paragraph" w:styleId="1289" w:customStyle="1">
    <w:name w:val="List Paragraph1"/>
    <w:basedOn w:val="1003"/>
    <w:pPr>
      <w:ind w:left="720"/>
      <w:jc w:val="center"/>
    </w:pPr>
    <w:rPr>
      <w:rFonts w:ascii="Calibri" w:hAnsi="Calibri" w:eastAsia="Calibri" w:cs="Calibri"/>
      <w:sz w:val="22"/>
      <w:szCs w:val="22"/>
      <w:lang w:eastAsia="ar-SA"/>
    </w:rPr>
  </w:style>
  <w:style w:type="character" w:styleId="1290">
    <w:name w:val="annotation reference"/>
    <w:basedOn w:val="1013"/>
    <w:rPr>
      <w:sz w:val="16"/>
      <w:szCs w:val="16"/>
    </w:rPr>
  </w:style>
  <w:style w:type="paragraph" w:styleId="1291">
    <w:name w:val="annotation text"/>
    <w:basedOn w:val="1003"/>
    <w:link w:val="1292"/>
    <w:rPr>
      <w:sz w:val="20"/>
      <w:szCs w:val="20"/>
    </w:rPr>
  </w:style>
  <w:style w:type="character" w:styleId="1292" w:customStyle="1">
    <w:name w:val="Текст примечания Знак"/>
    <w:basedOn w:val="1013"/>
    <w:link w:val="1291"/>
  </w:style>
  <w:style w:type="paragraph" w:styleId="1293" w:customStyle="1">
    <w:name w:val="Без интервала2"/>
    <w:link w:val="1294"/>
    <w:rPr>
      <w:rFonts w:ascii="Calibri" w:hAnsi="Calibri"/>
      <w:sz w:val="22"/>
      <w:szCs w:val="22"/>
      <w:lang w:eastAsia="en-US"/>
    </w:rPr>
  </w:style>
  <w:style w:type="character" w:styleId="1294" w:customStyle="1">
    <w:name w:val="No Spacing Char"/>
    <w:basedOn w:val="1013"/>
    <w:link w:val="1293"/>
    <w:rPr>
      <w:rFonts w:ascii="Calibri" w:hAnsi="Calibri"/>
      <w:sz w:val="22"/>
      <w:szCs w:val="22"/>
      <w:lang w:eastAsia="en-US"/>
    </w:rPr>
  </w:style>
  <w:style w:type="paragraph" w:styleId="1295" w:customStyle="1">
    <w:name w:val="dktexleft"/>
    <w:basedOn w:val="1003"/>
    <w:pPr>
      <w:spacing w:before="100" w:beforeAutospacing="1" w:after="100" w:afterAutospacing="1"/>
    </w:pPr>
  </w:style>
  <w:style w:type="paragraph" w:styleId="1296">
    <w:name w:val="footnote text"/>
    <w:basedOn w:val="1003"/>
    <w:link w:val="1297"/>
    <w:uiPriority w:val="99"/>
    <w:unhideWhenUsed/>
    <w:rPr>
      <w:sz w:val="20"/>
      <w:szCs w:val="20"/>
    </w:rPr>
  </w:style>
  <w:style w:type="character" w:styleId="1297" w:customStyle="1">
    <w:name w:val="Текст сноски Знак"/>
    <w:basedOn w:val="1013"/>
    <w:link w:val="1296"/>
    <w:uiPriority w:val="99"/>
  </w:style>
  <w:style w:type="character" w:styleId="1298">
    <w:name w:val="footnote reference"/>
    <w:basedOn w:val="1013"/>
    <w:uiPriority w:val="99"/>
    <w:unhideWhenUsed/>
    <w:rPr>
      <w:vertAlign w:val="superscript"/>
    </w:rPr>
  </w:style>
  <w:style w:type="paragraph" w:styleId="1299" w:customStyle="1">
    <w:name w:val="Основной текст"/>
    <w:basedOn w:val="898"/>
    <w:next w:val="928"/>
    <w:link w:val="92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12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300" w:customStyle="1">
    <w:name w:val="Table Paragraph"/>
    <w:basedOn w:val="946"/>
    <w:uiPriority w:val="1"/>
    <w:qFormat/>
    <w:pPr>
      <w:contextualSpacing w:val="0"/>
      <w:ind w:left="0" w:right="0" w:firstLine="0"/>
      <w:jc w:val="center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1_490884" w:customStyle="1">
    <w:name w:val="Основной текст (2)"/>
    <w:basedOn w:val="916"/>
    <w:link w:val="942"/>
    <w:pPr>
      <w:contextualSpacing w:val="0"/>
      <w:ind w:left="0" w:right="0" w:firstLine="0"/>
      <w:jc w:val="left"/>
      <w:keepLines w:val="0"/>
      <w:keepNext w:val="0"/>
      <w:pageBreakBefore w:val="0"/>
      <w:spacing w:before="300" w:beforeAutospacing="0" w:after="0" w:afterAutospacing="0" w:line="302" w:lineRule="exac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cs="Times New Roman" w:asciiTheme="minorHAnsi" w:hAnsiTheme="minorHAnsi" w:eastAsiaTheme="minorEastAsia"/>
      <w:b/>
      <w:bCs/>
      <w:i w:val="0"/>
      <w:iCs w:val="0"/>
      <w:caps w:val="0"/>
      <w:smallCaps w:val="0"/>
      <w:strike w:val="0"/>
      <w:vanish w:val="0"/>
      <w:color w:val="auto"/>
      <w:spacing w:val="2"/>
      <w:position w:val="0"/>
      <w:sz w:val="21"/>
      <w:szCs w:val="21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footer" Target="footer1.xml" /><Relationship Id="rId16" Type="http://schemas.openxmlformats.org/officeDocument/2006/relationships/footer" Target="footer2.xml" /><Relationship Id="rId17" Type="http://schemas.openxmlformats.org/officeDocument/2006/relationships/footer" Target="footer3.xml" /><Relationship Id="rId18" Type="http://schemas.openxmlformats.org/officeDocument/2006/relationships/customXml" Target="../customXml/item1.xml" /><Relationship Id="rId19" Type="http://schemas.openxmlformats.org/officeDocument/2006/relationships/hyperlink" Target="consultantplus://offline/ref=83B7D527D992B0673744BD5E17DE5CA452A9B091CB1C322E62459A9D0847C1838FBC02C3C6C1B40Ai4m7E" TargetMode="External"/><Relationship Id="rId20" Type="http://schemas.openxmlformats.org/officeDocument/2006/relationships/image" Target="media/image1.png"/><Relationship Id="rId21" Type="http://schemas.openxmlformats.org/officeDocument/2006/relationships/image" Target="media/image2.jpg"/><Relationship Id="rId22" Type="http://schemas.openxmlformats.org/officeDocument/2006/relationships/image" Target="media/image3.jpg"/><Relationship Id="rId23" Type="http://schemas.openxmlformats.org/officeDocument/2006/relationships/image" Target="media/image4.jpg"/><Relationship Id="rId24" Type="http://schemas.openxmlformats.org/officeDocument/2006/relationships/image" Target="media/image5.jpg"/><Relationship Id="rId25" Type="http://schemas.openxmlformats.org/officeDocument/2006/relationships/image" Target="media/image6.png"/><Relationship Id="rId26" Type="http://schemas.openxmlformats.org/officeDocument/2006/relationships/chart" Target="charts/chart1.xml" /><Relationship Id="rId27" Type="http://schemas.openxmlformats.org/officeDocument/2006/relationships/chart" Target="charts/chart2.xml" /><Relationship Id="rId28" Type="http://schemas.openxmlformats.org/officeDocument/2006/relationships/chart" Target="charts/chart3.xml" /><Relationship Id="rId29" Type="http://schemas.openxmlformats.org/officeDocument/2006/relationships/chart" Target="charts/chart4.xml" /><Relationship Id="rId30" Type="http://schemas.openxmlformats.org/officeDocument/2006/relationships/hyperlink" Target="http://pandia.ru/text/category/globalizatciya/" TargetMode="External"/><Relationship Id="rId31" Type="http://schemas.openxmlformats.org/officeDocument/2006/relationships/hyperlink" Target="http://pandia.ru/text/category/sotcialmzno_yekonomicheskoe_razvitie/" TargetMode="External"/><Relationship Id="rId32" Type="http://schemas.openxmlformats.org/officeDocument/2006/relationships/hyperlink" Target="http://pandia.ru/text/category/voronezhskaya_obl_/" TargetMode="External"/><Relationship Id="rId33" Type="http://schemas.openxmlformats.org/officeDocument/2006/relationships/hyperlink" Target="http://pandia.ru/text/category/byudzhet_mestnij/" TargetMode="External"/><Relationship Id="rId34" Type="http://schemas.openxmlformats.org/officeDocument/2006/relationships/hyperlink" Target="http://pandia.ru/text/category/tcelevie_programmi/" TargetMode="External"/><Relationship Id="rId35" Type="http://schemas.openxmlformats.org/officeDocument/2006/relationships/hyperlink" Target="http://pandia.ru/text/category/munitcipalmznie_obrazovaniya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1.xlsx" /></Relationships>
</file>

<file path=word/charts/_rels/chart2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2.xlsx" /></Relationships>
</file>

<file path=word/charts/_rels/chart3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3.xlsx" /></Relationships>
</file>

<file path=word/charts/_rels/chart4.xml.rels><?xml version="1.0" encoding="UTF-8" standalone="yes"?><Relationships xmlns="http://schemas.openxmlformats.org/package/2006/relationships"><Relationship Id="rId1" Type="http://schemas.openxmlformats.org/officeDocument/2006/relationships/themeOverride" Target="../theme/themeOverride1.xml" /><Relationship Id="rId2" Type="http://schemas.openxmlformats.org/officeDocument/2006/relationships/package" Target="../embeddings/Microsoft_Excel_Worksheet4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5="http://schemas.microsoft.com/office/drawing/2012/chart" xmlns:c14="http://schemas.microsoft.com/office/drawing/2007/8/2/chart" xmlns:c16r2="http://schemas.microsoft.com/office/drawing/2015/06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068783"/>
          <c:y val="0.223577"/>
          <c:w val="0.911817"/>
          <c:h val="0.60162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в том числе сельское население</c:v>
                </c:pt>
              </c:strCache>
            </c:strRef>
          </c:tx>
          <c:spPr bwMode="auto">
            <a:prstGeom prst="rect">
              <a:avLst/>
            </a:prstGeom>
            <a:solidFill>
              <a:srgbClr val="9999FF"/>
            </a:solidFill>
            <a:ln w="12665">
              <a:solidFill>
                <a:srgbClr val="000000"/>
              </a:solidFill>
              <a:prstDash val="solid"/>
            </a:ln>
          </c:spPr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 w="25329">
                <a:noFill/>
              </a:ln>
            </c:spPr>
            <c:txPr>
              <a:bodyPr/>
              <a:lstStyle/>
              <a:p>
                <a:pPr>
                  <a:defRPr sz="1000" b="0" i="0" u="none" strike="noStrike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</c:dLbls>
          <c:cat>
            <c:strRef>
              <c:f>Лист1!$A$2:$A$6</c:f>
              <c:strCache>
                <c:ptCount val="5"/>
                <c:pt idx="0">
                  <c:v>2007г.</c:v>
                </c:pt>
                <c:pt idx="1">
                  <c:v>2008г.</c:v>
                </c:pt>
                <c:pt idx="2">
                  <c:v>2009г.</c:v>
                </c:pt>
                <c:pt idx="3">
                  <c:v>2010г.</c:v>
                </c:pt>
                <c:pt idx="4">
                  <c:v>2011г.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17.6</c:v>
                </c:pt>
                <c:pt idx="1">
                  <c:v>17.57</c:v>
                </c:pt>
                <c:pt idx="2">
                  <c:v>17.5</c:v>
                </c:pt>
                <c:pt idx="3">
                  <c:v>17.43</c:v>
                </c:pt>
                <c:pt idx="4">
                  <c:v>17.29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Все население</c:v>
                </c:pt>
              </c:strCache>
            </c:strRef>
          </c:tx>
          <c:spPr bwMode="auto">
            <a:prstGeom prst="rect">
              <a:avLst/>
            </a:prstGeom>
            <a:solidFill>
              <a:srgbClr val="FFFF99"/>
            </a:solidFill>
            <a:ln w="1266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/>
              <c:showBubbleSize val="0"/>
              <c:showCatName val="0"/>
              <c:showLegendKey val="0"/>
              <c:showPercent val="0"/>
              <c:showSerName val="0"/>
              <c:showVal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 sz="1050"/>
                      <a:t>32,60</a:t>
                    </a:r>
                    <a:endParaRPr lang="en-US" sz="1050"/>
                  </a:p>
                </c:rich>
              </c:tx>
            </c:dLbl>
            <c:dLbl>
              <c:idx val="1"/>
              <c:layout/>
              <c:showBubbleSize val="0"/>
              <c:showCatName val="0"/>
              <c:showLegendKey val="0"/>
              <c:showPercent val="0"/>
              <c:showSerName val="0"/>
              <c:showVal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32,64</a:t>
                    </a:r>
                    <a:endParaRPr lang="en-US"/>
                  </a:p>
                </c:rich>
              </c:tx>
            </c:dLbl>
            <c:dLbl>
              <c:idx val="2"/>
              <c:dLblPos val="ctr"/>
              <c:layout>
                <c:manualLayout>
                  <c:x val="0.004703"/>
                  <c:y val="0.00000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32,59</a:t>
                    </a:r>
                    <a:endParaRPr lang="en-US"/>
                  </a:p>
                </c:rich>
              </c:tx>
            </c:dLbl>
            <c:dLbl>
              <c:idx val="3"/>
              <c:layout/>
              <c:showBubbleSize val="0"/>
              <c:showCatName val="0"/>
              <c:showLegendKey val="0"/>
              <c:showPercent val="0"/>
              <c:showSerName val="0"/>
              <c:showVal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32,64</a:t>
                    </a:r>
                    <a:endParaRPr lang="en-US"/>
                  </a:p>
                </c:rich>
              </c:tx>
            </c:dLbl>
            <c:dLbl>
              <c:idx val="4"/>
              <c:layout/>
              <c:showBubbleSize val="0"/>
              <c:showCatName val="0"/>
              <c:showLegendKey val="0"/>
              <c:showPercent val="0"/>
              <c:showSerName val="0"/>
              <c:showVal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32,43</a:t>
                    </a:r>
                    <a:endParaRPr lang="en-US"/>
                  </a:p>
                </c:rich>
              </c:tx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</c:dLbls>
          <c:cat>
            <c:strRef>
              <c:f>Лист1!$A$2:$A$6</c:f>
              <c:strCache>
                <c:ptCount val="5"/>
                <c:pt idx="0">
                  <c:v>2007г.</c:v>
                </c:pt>
                <c:pt idx="1">
                  <c:v>2008г.</c:v>
                </c:pt>
                <c:pt idx="2">
                  <c:v>2009г.</c:v>
                </c:pt>
                <c:pt idx="3">
                  <c:v>2010г.</c:v>
                </c:pt>
                <c:pt idx="4">
                  <c:v>2011г.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</c:v>
                </c:pt>
                <c:pt idx="1">
                  <c:v>15.08</c:v>
                </c:pt>
                <c:pt idx="2">
                  <c:v>15.09</c:v>
                </c:pt>
                <c:pt idx="3">
                  <c:v>15.21</c:v>
                </c:pt>
                <c:pt idx="4">
                  <c:v>15.14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overlap val="100"/>
        <c:axId val="59792000"/>
        <c:axId val="59797888"/>
      </c:barChart>
      <c:catAx>
        <c:axId val="59792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 bwMode="auto">
          <a:prstGeom prst="rect">
            <a:avLst/>
          </a:prstGeom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979788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9797888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316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 bwMode="auto">
          <a:prstGeom prst="rect">
            <a:avLst/>
          </a:prstGeom>
          <a:ln w="3166">
            <a:solidFill>
              <a:srgbClr val="000000"/>
            </a:solidFill>
            <a:prstDash val="solid"/>
            <a:round/>
          </a:ln>
        </c:spPr>
        <c:txPr>
          <a:bodyPr rot="0" vert="horz"/>
          <a:lstStyle/>
          <a:p>
            <a:pPr>
              <a:defRPr sz="1000" b="0" i="0" u="none" strike="noStrike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9792000"/>
        <c:crosses val="autoZero"/>
        <c:crossBetween val="between"/>
      </c:valAx>
      <c:spPr bwMode="auto">
        <a:prstGeom prst="rect">
          <a:avLst/>
        </a:prstGeom>
        <a:solidFill>
          <a:srgbClr val="FFFFFF"/>
        </a:solidFill>
        <a:ln w="12665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522046"/>
          <c:y val="0.032520"/>
          <c:w val="0.329425"/>
          <c:h val="0.226633"/>
        </c:manualLayout>
      </c:layout>
      <c:overlay val="0"/>
      <c:spPr bwMode="auto">
        <a:prstGeom prst="rect">
          <a:avLst/>
        </a:prstGeom>
        <a:solidFill>
          <a:srgbClr val="FFFFFF"/>
        </a:solidFill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800" b="0" i="0" u="none" strike="noStrike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0"/>
    <c:dispBlanksAs val="gap"/>
    <c:showDLblsOverMax val="0"/>
  </c:chart>
  <c:spPr bwMode="auto">
    <a:prstGeom prst="rect">
      <a:avLst/>
    </a:prstGeom>
    <a:noFill/>
    <a:ln>
      <a:noFill/>
    </a:ln>
  </c:spPr>
  <c:txPr>
    <a:bodyPr/>
    <a:lstStyle/>
    <a:p>
      <a:pPr>
        <a:defRPr sz="400" b="0" i="0" u="none" strike="noStrike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5="http://schemas.microsoft.com/office/drawing/2012/chart" xmlns:c14="http://schemas.microsoft.com/office/drawing/2007/8/2/chart" xmlns:c16r2="http://schemas.microsoft.com/office/drawing/2015/06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070053"/>
          <c:y val="0.101852"/>
          <c:w val="0.653240"/>
          <c:h val="0.79629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 xml:space="preserve">уровень рождаемости</c:v>
                </c:pt>
              </c:strCache>
            </c:strRef>
          </c:tx>
          <c:spPr bwMode="auto">
            <a:prstGeom prst="rect">
              <a:avLst/>
            </a:prstGeom>
            <a:solidFill>
              <a:srgbClr val="993366"/>
            </a:solidFill>
            <a:ln w="12744">
              <a:solidFill>
                <a:srgbClr val="000000"/>
              </a:solidFill>
              <a:prstDash val="solid"/>
            </a:ln>
          </c:spPr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 w="25489">
                <a:noFill/>
              </a:ln>
            </c:spPr>
            <c:txPr>
              <a:bodyPr/>
              <a:lstStyle/>
              <a:p>
                <a:pPr>
                  <a:defRPr sz="800" b="0" i="0" u="none" strike="noStrike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13.3</c:v>
                </c:pt>
                <c:pt idx="1">
                  <c:v>12.3</c:v>
                </c:pt>
                <c:pt idx="2">
                  <c:v>10.6</c:v>
                </c:pt>
                <c:pt idx="3">
                  <c:v>11.7</c:v>
                </c:pt>
                <c:pt idx="4">
                  <c:v>12.2</c:v>
                </c:pt>
              </c:numCache>
            </c:numRef>
          </c:val>
        </c:ser>
        <c:ser>
          <c:idx val="0"/>
          <c:order val="1"/>
          <c:tx>
            <c:strRef>
              <c:f>Лист1!$C$1</c:f>
              <c:strCache>
                <c:ptCount val="1"/>
                <c:pt idx="0">
                  <c:v xml:space="preserve">уровень смертности</c:v>
                </c:pt>
              </c:strCache>
            </c:strRef>
          </c:tx>
          <c:spPr bwMode="auto">
            <a:prstGeom prst="rect">
              <a:avLst/>
            </a:prstGeom>
            <a:solidFill>
              <a:srgbClr val="9999FF"/>
            </a:solidFill>
            <a:ln w="12744">
              <a:solidFill>
                <a:srgbClr val="000000"/>
              </a:solidFill>
              <a:prstDash val="solid"/>
            </a:ln>
          </c:spPr>
          <c:invertIfNegative val="0"/>
          <c:dLbls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 w="25489">
                <a:noFill/>
              </a:ln>
            </c:spPr>
            <c:txPr>
              <a:bodyPr/>
              <a:lstStyle/>
              <a:p>
                <a:pPr>
                  <a:defRPr sz="800" b="0" i="0" u="none" strike="noStrike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18.2</c:v>
                </c:pt>
                <c:pt idx="1">
                  <c:v>18.5</c:v>
                </c:pt>
                <c:pt idx="2">
                  <c:v>17.3</c:v>
                </c:pt>
                <c:pt idx="3">
                  <c:v>17.3</c:v>
                </c:pt>
                <c:pt idx="4">
                  <c:v>18.7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axId val="207073280"/>
        <c:axId val="207074816"/>
      </c:barChart>
      <c:lineChart>
        <c:grouping val="standard"/>
        <c:varyColors val="0"/>
        <c:ser>
          <c:idx val="2"/>
          <c:order val="2"/>
          <c:tx>
            <c:strRef>
              <c:f>Лист1!$D$1</c:f>
              <c:strCache>
                <c:ptCount val="1"/>
                <c:pt idx="0">
                  <c:v xml:space="preserve">естественный прирост (убыль)</c:v>
                </c:pt>
              </c:strCache>
            </c:strRef>
          </c:tx>
          <c:spPr bwMode="auto">
            <a:prstGeom prst="rect">
              <a:avLst/>
            </a:prstGeom>
            <a:ln w="12744">
              <a:solidFill>
                <a:srgbClr val="FF6600"/>
              </a:solidFill>
              <a:prstDash val="solid"/>
            </a:ln>
          </c:spPr>
          <c:marker>
            <c:symbol val="triangle"/>
            <c:size val="5"/>
            <c:spPr bwMode="auto">
              <a:prstGeom prst="rect">
                <a:avLst/>
              </a:prstGeom>
              <a:solidFill>
                <a:srgbClr val="FF6600"/>
              </a:solidFill>
              <a:ln>
                <a:solidFill>
                  <a:srgbClr val="FF6600"/>
                </a:solidFill>
                <a:prstDash val="solid"/>
              </a:ln>
            </c:spPr>
          </c:marker>
          <c:dLbls>
            <c:dLbl>
              <c:idx val="0"/>
              <c:dLblPos val="r"/>
              <c:layout>
                <c:manualLayout>
                  <c:x val="-0.009866"/>
                  <c:y val="0.05652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dLblPos val="r"/>
              <c:layout>
                <c:manualLayout>
                  <c:x val="0.001343"/>
                  <c:y val="0.02574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dLblPos val="r"/>
              <c:layout>
                <c:manualLayout>
                  <c:x val="-0.004962"/>
                  <c:y val="0.03689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3"/>
              <c:dLblPos val="r"/>
              <c:layout>
                <c:manualLayout>
                  <c:x val="-0.006013"/>
                  <c:y val="0.04083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dLblPos val="r"/>
              <c:layout>
                <c:manualLayout>
                  <c:x val="-0.006965"/>
                  <c:y val="0.034526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 w="25489">
                <a:noFill/>
              </a:ln>
            </c:spPr>
            <c:txPr>
              <a:bodyPr/>
              <a:lstStyle/>
              <a:p>
                <a:pPr>
                  <a:defRPr sz="800" b="0" i="0" u="none" strike="noStrike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-4.899999999999999</c:v>
                </c:pt>
                <c:pt idx="1">
                  <c:v>-6.1999999999999975</c:v>
                </c:pt>
                <c:pt idx="2">
                  <c:v>-6.700000000000001</c:v>
                </c:pt>
                <c:pt idx="3">
                  <c:v>-5.6000000000000005</c:v>
                </c:pt>
                <c:pt idx="4">
                  <c:v>-6.5</c:v>
                </c:pt>
              </c:numCache>
            </c:numRef>
          </c:val>
          <c:smooth val="0"/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marker val="1"/>
        <c:smooth val="0"/>
        <c:axId val="207076352"/>
        <c:axId val="207078144"/>
      </c:lineChart>
      <c:catAx>
        <c:axId val="20707328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 bwMode="auto">
          <a:prstGeom prst="rect">
            <a:avLst/>
          </a:prstGeom>
          <a:ln w="31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07074816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207074816"/>
        <c:scaling>
          <c:orientation val="minMax"/>
        </c:scaling>
        <c:delete val="0"/>
        <c:axPos val="l"/>
        <c:numFmt formatCode="General" sourceLinked="1"/>
        <c:majorTickMark val="cross"/>
        <c:minorTickMark val="none"/>
        <c:tickLblPos val="nextTo"/>
        <c:spPr bwMode="auto">
          <a:prstGeom prst="rect">
            <a:avLst/>
          </a:prstGeom>
          <a:ln w="318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ru-RU"/>
          </a:p>
        </c:txPr>
        <c:crossAx val="207073280"/>
        <c:crosses val="autoZero"/>
        <c:crossBetween val="between"/>
      </c:valAx>
      <c:catAx>
        <c:axId val="2070763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07078144"/>
        <c:crosses val="autoZero"/>
        <c:auto val="0"/>
        <c:lblAlgn val="ctr"/>
        <c:lblOffset val="100"/>
        <c:noMultiLvlLbl val="0"/>
      </c:catAx>
      <c:valAx>
        <c:axId val="2070781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07076352"/>
        <c:crosses val="autoZero"/>
        <c:crossBetween val="between"/>
      </c:valAx>
      <c:spPr bwMode="auto">
        <a:prstGeom prst="rect">
          <a:avLst/>
        </a:prstGeom>
        <a:solidFill>
          <a:srgbClr val="FFFFFF"/>
        </a:solidFill>
        <a:ln w="12744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47811"/>
          <c:y val="0.237683"/>
          <c:w val="0.223273"/>
          <c:h val="0.663173"/>
        </c:manualLayout>
      </c:layout>
      <c:overlay val="0"/>
      <c:spPr bwMode="auto">
        <a:prstGeom prst="rect">
          <a:avLst/>
        </a:prstGeom>
        <a:solidFill>
          <a:srgbClr val="FFFFFF"/>
        </a:solidFill>
        <a:ln w="3186">
          <a:solidFill>
            <a:srgbClr val="000000"/>
          </a:solidFill>
          <a:prstDash val="solid"/>
        </a:ln>
      </c:spPr>
      <c:txPr>
        <a:bodyPr/>
        <a:lstStyle/>
        <a:p>
          <a:pPr>
            <a:defRPr sz="850" b="0" i="0" u="none" strike="noStrike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noFill/>
    <a:ln>
      <a:noFill/>
    </a:ln>
  </c:spPr>
  <c:txPr>
    <a:bodyPr/>
    <a:lstStyle/>
    <a:p>
      <a:pPr>
        <a:defRPr sz="1000" b="0" i="0" u="none" strike="noStrike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5="http://schemas.microsoft.com/office/drawing/2012/chart" xmlns:c14="http://schemas.microsoft.com/office/drawing/2007/8/2/chart" xmlns:c16r2="http://schemas.microsoft.com/office/drawing/2015/06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056437"/>
          <c:y val="0.094340"/>
          <c:w val="0.726631"/>
          <c:h val="0.73113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</c:v>
                </c:pt>
              </c:strCache>
            </c:strRef>
          </c:tx>
          <c:spPr bwMode="auto">
            <a:prstGeom prst="rect">
              <a:avLst/>
            </a:prstGeom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 bwMode="auto">
              <a:prstGeom prst="rect">
                <a:avLst/>
              </a:prstGeom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dLbl>
              <c:idx val="0"/>
              <c:dLblPos val="r"/>
              <c:layout>
                <c:manualLayout>
                  <c:x val="-0.034450"/>
                  <c:y val="-0.09254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dLblPos val="r"/>
              <c:layout>
                <c:manualLayout>
                  <c:x val="-0.039271"/>
                  <c:y val="-0.04720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dLblPos val="r"/>
              <c:layout>
                <c:manualLayout>
                  <c:x val="-0.024103"/>
                  <c:y val="-0.06457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3"/>
              <c:dLblPos val="r"/>
              <c:layout>
                <c:manualLayout>
                  <c:x val="-0.040094"/>
                  <c:y val="-0.06683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dLblPos val="r"/>
              <c:layout>
                <c:manualLayout>
                  <c:x val="-0.005526"/>
                  <c:y val="-0.037628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13.3</c:v>
                </c:pt>
                <c:pt idx="1">
                  <c:v>12.3</c:v>
                </c:pt>
                <c:pt idx="2">
                  <c:v>10.6</c:v>
                </c:pt>
                <c:pt idx="3">
                  <c:v>11.7</c:v>
                </c:pt>
                <c:pt idx="4">
                  <c:v>12.5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spPr bwMode="auto">
            <a:prstGeom prst="rect">
              <a:avLst/>
            </a:prstGeom>
            <a:ln w="12700">
              <a:solidFill>
                <a:srgbClr val="FF00FF"/>
              </a:solidFill>
              <a:prstDash val="solid"/>
            </a:ln>
          </c:spPr>
          <c:marker>
            <c:symbol val="triangle"/>
            <c:size val="4"/>
            <c:spPr bwMode="auto">
              <a:prstGeom prst="rect">
                <a:avLst/>
              </a:prstGeom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dLbls>
            <c:dLbl>
              <c:idx val="0"/>
              <c:dLblPos val="r"/>
              <c:layout>
                <c:manualLayout>
                  <c:x val="-0.063257"/>
                  <c:y val="-0.06146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dLblPos val="r"/>
              <c:layout>
                <c:manualLayout>
                  <c:x val="-0.028101"/>
                  <c:y val="-0.082607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dLblPos val="r"/>
              <c:layout>
                <c:manualLayout>
                  <c:x val="-0.035861"/>
                  <c:y val="0.09596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3"/>
              <c:dLblPos val="r"/>
              <c:layout>
                <c:manualLayout>
                  <c:x val="-0.018342"/>
                  <c:y val="0.08158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dLblPos val="r"/>
              <c:layout>
                <c:manualLayout>
                  <c:x val="-0.021399"/>
                  <c:y val="0.103180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1"/>
            <c:spPr bwMode="auto">
              <a:prstGeom prst="rect">
                <a:avLst/>
              </a:prstGeom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2.3</c:v>
                </c:pt>
                <c:pt idx="1">
                  <c:v>19.9</c:v>
                </c:pt>
                <c:pt idx="2" formatCode="0.0">
                  <c:v>5.8</c:v>
                </c:pt>
                <c:pt idx="3">
                  <c:v>7.8</c:v>
                </c:pt>
                <c:pt idx="4">
                  <c:v>7.4</c:v>
                </c:pt>
              </c:numCache>
            </c:numRef>
          </c:val>
          <c:smooth val="0"/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marker val="1"/>
        <c:smooth val="0"/>
        <c:axId val="212817792"/>
        <c:axId val="212819328"/>
      </c:lineChart>
      <c:catAx>
        <c:axId val="212817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 bwMode="auto"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2819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2819328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 bwMode="auto">
          <a:prstGeom prst="rect">
            <a:avLst/>
          </a:prstGeom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2817792"/>
        <c:crosses val="autoZero"/>
        <c:crossBetween val="between"/>
      </c:valAx>
      <c:spPr bwMode="auto">
        <a:prstGeom prst="rect">
          <a:avLst/>
        </a:prstGeom>
        <a:solidFill>
          <a:srgbClr val="FFCC99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802469"/>
          <c:y val="0.367925"/>
          <c:w val="0.190476"/>
          <c:h val="0.183962"/>
        </c:manualLayout>
      </c:layout>
      <c:overlay val="0"/>
      <c:spPr bwMode="auto">
        <a:prstGeom prst="rect">
          <a:avLst/>
        </a:prstGeom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0" b="0" i="0" u="none" strike="noStrike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0"/>
    <c:dispBlanksAs val="gap"/>
    <c:showDLblsOverMax val="0"/>
  </c:chart>
  <c:spPr bwMode="auto">
    <a:prstGeom prst="rect">
      <a:avLst/>
    </a:prstGeom>
    <a:noFill/>
    <a:ln>
      <a:noFill/>
    </a:ln>
  </c:spPr>
  <c:txPr>
    <a:bodyPr/>
    <a:lstStyle/>
    <a:p>
      <a:pPr>
        <a:defRPr sz="300" b="0" i="0" u="none" strike="noStrike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5="http://schemas.microsoft.com/office/drawing/2012/chart" xmlns:c14="http://schemas.microsoft.com/office/drawing/2007/8/2/chart" xmlns:c16r2="http://schemas.microsoft.com/office/drawing/2015/06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1577"/>
          <c:y val="0.093496"/>
          <c:w val="0.575390"/>
          <c:h val="0.7642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доходы бюджета</c:v>
                </c:pt>
              </c:strCache>
            </c:strRef>
          </c:tx>
          <c:spPr bwMode="auto">
            <a:prstGeom prst="rect">
              <a:avLst/>
            </a:prstGeom>
            <a:gradFill rotWithShape="0"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5400000" scaled="1"/>
            </a:gradFill>
            <a:ln w="1272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Лист1!$B$2:$B$6</c:f>
              <c:numCache>
                <c:formatCode xml:space="preserve">_-* #,##0_р_._-;\-* #,##0_р_._-;_-* "-"??_р_._-;_-@_-</c:formatCode>
                <c:ptCount val="5"/>
                <c:pt idx="0">
                  <c:v>440791</c:v>
                </c:pt>
                <c:pt idx="1">
                  <c:v>797215</c:v>
                </c:pt>
                <c:pt idx="2">
                  <c:v>857544</c:v>
                </c:pt>
                <c:pt idx="3">
                  <c:v>1040783</c:v>
                </c:pt>
                <c:pt idx="4">
                  <c:v>1504870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расходы бюджета</c:v>
                </c:pt>
              </c:strCache>
            </c:strRef>
          </c:tx>
          <c:spPr bwMode="auto">
            <a:prstGeom prst="rect">
              <a:avLst/>
            </a:prstGeom>
            <a:gradFill rotWithShape="0">
              <a:gsLst>
                <a:gs pos="0">
                  <a:srgbClr val="3399FF"/>
                </a:gs>
                <a:gs pos="16000">
                  <a:srgbClr val="00CCCC"/>
                </a:gs>
                <a:gs pos="47000">
                  <a:srgbClr val="9999FF"/>
                </a:gs>
                <a:gs pos="60001">
                  <a:srgbClr val="2E6792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6699"/>
                </a:gs>
              </a:gsLst>
              <a:lin ang="5400000" scaled="1"/>
            </a:gradFill>
            <a:ln w="1272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Лист1!$A$2:$A$6</c:f>
              <c:numCache>
                <c:formatCode>General</c:formatCode>
                <c:ptCount val="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</c:numCache>
            </c:numRef>
          </c:cat>
          <c:val>
            <c:numRef>
              <c:f>Лист1!$C$2:$C$6</c:f>
              <c:numCache>
                <c:formatCode xml:space="preserve">_-* #,##0_р_._-;\-* #,##0_р_._-;_-* "-"??_р_._-;_-@_-</c:formatCode>
                <c:ptCount val="5"/>
                <c:pt idx="0">
                  <c:v>444805</c:v>
                </c:pt>
                <c:pt idx="1">
                  <c:v>788105</c:v>
                </c:pt>
                <c:pt idx="2">
                  <c:v>856954</c:v>
                </c:pt>
                <c:pt idx="3">
                  <c:v>1042954</c:v>
                </c:pt>
                <c:pt idx="4">
                  <c:v>1470159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gapWidth val="150"/>
        <c:axId val="217325568"/>
        <c:axId val="217327104"/>
      </c:barChart>
      <c:catAx>
        <c:axId val="217325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 bwMode="auto">
          <a:prstGeom prst="rect">
            <a:avLst/>
          </a:prstGeom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0" i="0" u="none" strike="noStrike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73271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7327104"/>
        <c:scaling>
          <c:orientation val="minMax"/>
        </c:scaling>
        <c:delete val="0"/>
        <c:axPos val="l"/>
        <c:majorGridlines>
          <c:spPr bwMode="auto">
            <a:prstGeom prst="rect">
              <a:avLst/>
            </a:prstGeom>
            <a:ln w="3180">
              <a:solidFill>
                <a:srgbClr val="000000"/>
              </a:solidFill>
              <a:prstDash val="solid"/>
            </a:ln>
          </c:spPr>
        </c:majorGridlines>
        <c:numFmt formatCode="_-* #,##0_р_._-;\-* #,##0_р_._-;_-* &quot;-&quot;??_р_._-;_-@_-" sourceLinked="1"/>
        <c:majorTickMark val="out"/>
        <c:minorTickMark val="none"/>
        <c:tickLblPos val="nextTo"/>
        <c:spPr bwMode="auto">
          <a:prstGeom prst="rect">
            <a:avLst/>
          </a:prstGeom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50" b="0" i="0" u="none" strike="noStrike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7325568"/>
        <c:crosses val="autoZero"/>
        <c:crossBetween val="between"/>
      </c:valAx>
      <c:spPr bwMode="auto">
        <a:prstGeom prst="rect">
          <a:avLst/>
        </a:prstGeom>
        <a:gradFill rotWithShape="0">
          <a:gsLst>
            <a:gs pos="0">
              <a:srgbClr val="FF99CC"/>
            </a:gs>
            <a:gs pos="100000">
              <a:srgbClr val="FFFFFF"/>
            </a:gs>
          </a:gsLst>
          <a:lin ang="5400000" scaled="1"/>
        </a:gradFill>
        <a:ln w="3180">
          <a:solidFill>
            <a:srgbClr val="00000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98960"/>
          <c:y val="0.398374"/>
          <c:w val="0.192374"/>
          <c:h val="0.158537"/>
        </c:manualLayout>
      </c:layout>
      <c:overlay val="0"/>
      <c:spPr bwMode="auto">
        <a:prstGeom prst="rect">
          <a:avLst/>
        </a:prstGeom>
        <a:solidFill>
          <a:srgbClr val="FFFFFF"/>
        </a:solidFill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750" b="0" i="0" u="none" strike="noStrike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0"/>
    <c:dispBlanksAs val="gap"/>
    <c:showDLblsOverMax val="0"/>
  </c:chart>
  <c:spPr bwMode="auto">
    <a:prstGeom prst="rect">
      <a:avLst/>
    </a:prstGeom>
    <a:noFill/>
    <a:ln>
      <a:noFill/>
    </a:ln>
  </c:spPr>
  <c:txPr>
    <a:bodyPr/>
    <a:lstStyle/>
    <a:p>
      <a:pPr>
        <a:defRPr sz="1150" b="0" i="0" u="none" strike="noStrike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 xmlns:r="http://schemas.openxmlformats.org/officeDocument/2006/relationships" xmlns:p="http://schemas.openxmlformats.org/presentation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Arial"/>
      <a:cs typeface="Arial"/>
    </a:majorFont>
    <a:minorFont>
      <a:latin typeface="Calibri"/>
      <a:ea typeface="Arial"/>
      <a:cs typeface="Arial"/>
    </a:minorFont>
  </a:fontScheme>
  <a:fmtScheme name="Стандартная">
    <a:fillStyleLst>
      <a:solidFill>
        <a:schemeClr val="phClr"/>
      </a:solidFill>
      <a:gradFill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</a:effectStyleLst>
    <a:bgFillStyleLst>
      <a:solidFill>
        <a:schemeClr val="phClr"/>
      </a:solidFill>
      <a:gradFill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/>
      </a:gradFill>
      <a:gradFill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/>
      </a:gradFill>
    </a:bgFillStyleLst>
  </a:fmtScheme>
</a:themeOverrid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A7B31-71F4-4DCD-9F4B-7DF4BFB7B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>Org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panina@ald.ch.lan</cp:lastModifiedBy>
  <cp:revision>34</cp:revision>
  <dcterms:created xsi:type="dcterms:W3CDTF">2018-04-27T07:36:00Z</dcterms:created>
  <dcterms:modified xsi:type="dcterms:W3CDTF">2026-06-11T08:31:12Z</dcterms:modified>
</cp:coreProperties>
</file>