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5"/>
        <w:gridCol w:w="5302"/>
      </w:tblGrid>
      <w:tr w:rsidR="00CF3BC2">
        <w:trPr>
          <w:trHeight w:val="115"/>
        </w:trPr>
        <w:tc>
          <w:tcPr>
            <w:tcW w:w="9027" w:type="dxa"/>
            <w:gridSpan w:val="2"/>
          </w:tcPr>
          <w:p w:rsidR="00CF3BC2" w:rsidRDefault="00CF3BC2"/>
        </w:tc>
      </w:tr>
      <w:tr w:rsidR="00CF3BC2">
        <w:trPr>
          <w:trHeight w:val="558"/>
        </w:trPr>
        <w:tc>
          <w:tcPr>
            <w:tcW w:w="9027" w:type="dxa"/>
            <w:gridSpan w:val="2"/>
            <w:shd w:val="clear" w:color="auto" w:fill="FFFFFF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ДОКЛАД</w:t>
            </w:r>
          </w:p>
        </w:tc>
      </w:tr>
      <w:tr w:rsidR="00CF3BC2">
        <w:trPr>
          <w:trHeight w:val="1576"/>
        </w:trPr>
        <w:tc>
          <w:tcPr>
            <w:tcW w:w="9027" w:type="dxa"/>
            <w:gridSpan w:val="2"/>
            <w:shd w:val="clear" w:color="auto" w:fill="FFFFFF"/>
            <w:vAlign w:val="bottom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32"/>
              </w:rPr>
              <w:t>главы администрации</w:t>
            </w:r>
          </w:p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32"/>
              </w:rPr>
              <w:t>«Чернянского района» Белгородской области</w:t>
            </w:r>
          </w:p>
        </w:tc>
      </w:tr>
      <w:tr w:rsidR="00CF3BC2">
        <w:trPr>
          <w:trHeight w:val="459"/>
        </w:trPr>
        <w:tc>
          <w:tcPr>
            <w:tcW w:w="9027" w:type="dxa"/>
            <w:gridSpan w:val="2"/>
            <w:shd w:val="clear" w:color="auto" w:fill="FFFFFF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32"/>
              </w:rPr>
              <w:t>Морозова Сергея Анатольевича</w:t>
            </w:r>
          </w:p>
        </w:tc>
      </w:tr>
      <w:tr w:rsidR="00CF3BC2">
        <w:trPr>
          <w:trHeight w:val="444"/>
        </w:trPr>
        <w:tc>
          <w:tcPr>
            <w:tcW w:w="9027" w:type="dxa"/>
            <w:gridSpan w:val="2"/>
            <w:shd w:val="clear" w:color="auto" w:fill="FFFFFF"/>
          </w:tcPr>
          <w:p w:rsidR="00CF3BC2" w:rsidRDefault="00CF3BC2"/>
        </w:tc>
      </w:tr>
      <w:tr w:rsidR="00CF3BC2">
        <w:trPr>
          <w:trHeight w:val="1476"/>
        </w:trPr>
        <w:tc>
          <w:tcPr>
            <w:tcW w:w="9027" w:type="dxa"/>
            <w:gridSpan w:val="2"/>
            <w:shd w:val="clear" w:color="auto" w:fill="FFFFFF"/>
            <w:vAlign w:val="bottom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32"/>
              </w:rPr>
              <w:t xml:space="preserve">о достигнутых значениях ключевых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32"/>
              </w:rPr>
              <w:t>показателей эффективности деятельности управленческой команды органов местного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32"/>
              </w:rPr>
              <w:t xml:space="preserve"> самоуправления «Чернянского района» Белгородской области</w:t>
            </w:r>
          </w:p>
        </w:tc>
      </w:tr>
      <w:tr w:rsidR="00CF3BC2">
        <w:trPr>
          <w:trHeight w:val="329"/>
        </w:trPr>
        <w:tc>
          <w:tcPr>
            <w:tcW w:w="9027" w:type="dxa"/>
            <w:gridSpan w:val="2"/>
            <w:shd w:val="clear" w:color="auto" w:fill="FFFFFF"/>
          </w:tcPr>
          <w:p w:rsidR="00CF3BC2" w:rsidRDefault="00CF3BC2"/>
        </w:tc>
      </w:tr>
      <w:tr w:rsidR="00CF3BC2">
        <w:trPr>
          <w:trHeight w:val="574"/>
        </w:trPr>
        <w:tc>
          <w:tcPr>
            <w:tcW w:w="9027" w:type="dxa"/>
            <w:gridSpan w:val="2"/>
            <w:shd w:val="clear" w:color="auto" w:fill="FFFFFF"/>
            <w:vAlign w:val="bottom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32"/>
              </w:rPr>
              <w:t>за 2024 год</w:t>
            </w:r>
          </w:p>
        </w:tc>
      </w:tr>
      <w:tr w:rsidR="00CF3BC2">
        <w:trPr>
          <w:trHeight w:val="2593"/>
        </w:trPr>
        <w:tc>
          <w:tcPr>
            <w:tcW w:w="9027" w:type="dxa"/>
            <w:gridSpan w:val="2"/>
            <w:shd w:val="clear" w:color="auto" w:fill="FFFFFF"/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(во исполнение постановления Губернатора Белгородской области</w:t>
            </w:r>
            <w:proofErr w:type="gramEnd"/>
          </w:p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от 29 августа 2024 года № 130 «О мониторинге и оценке достигнутых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значений ключевых показателей эффективности деятельности управленческих команд органов местного самоуправления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муниципальных, городских округов и муниципальных районов Белгородской области»)</w:t>
            </w:r>
          </w:p>
        </w:tc>
      </w:tr>
      <w:tr w:rsidR="00CF3BC2">
        <w:trPr>
          <w:trHeight w:val="559"/>
        </w:trPr>
        <w:tc>
          <w:tcPr>
            <w:tcW w:w="9027" w:type="dxa"/>
            <w:gridSpan w:val="2"/>
          </w:tcPr>
          <w:p w:rsidR="00CF3BC2" w:rsidRDefault="00CF3BC2"/>
        </w:tc>
      </w:tr>
      <w:tr w:rsidR="00CF3BC2">
        <w:trPr>
          <w:trHeight w:val="1690"/>
        </w:trPr>
        <w:tc>
          <w:tcPr>
            <w:tcW w:w="3725" w:type="dxa"/>
          </w:tcPr>
          <w:p w:rsidR="00CF3BC2" w:rsidRDefault="00CF3BC2"/>
        </w:tc>
        <w:tc>
          <w:tcPr>
            <w:tcW w:w="5302" w:type="dxa"/>
            <w:shd w:val="clear" w:color="auto" w:fill="FFFFFF"/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16"/>
              </w:rPr>
              <w:t>${STAMP}</w:t>
            </w:r>
          </w:p>
        </w:tc>
      </w:tr>
      <w:tr w:rsidR="00CF3BC2">
        <w:trPr>
          <w:trHeight w:val="760"/>
        </w:trPr>
        <w:tc>
          <w:tcPr>
            <w:tcW w:w="9027" w:type="dxa"/>
            <w:gridSpan w:val="2"/>
          </w:tcPr>
          <w:p w:rsidR="00CF3BC2" w:rsidRDefault="00CF3BC2"/>
        </w:tc>
      </w:tr>
      <w:tr w:rsidR="00CF3BC2">
        <w:trPr>
          <w:trHeight w:val="458"/>
        </w:trPr>
        <w:tc>
          <w:tcPr>
            <w:tcW w:w="9027" w:type="dxa"/>
            <w:gridSpan w:val="2"/>
            <w:shd w:val="clear" w:color="auto" w:fill="FFFFFF"/>
            <w:vAlign w:val="bottom"/>
          </w:tcPr>
          <w:p w:rsidR="00CF3BC2" w:rsidRDefault="005F169B">
            <w:pPr>
              <w:spacing w:line="226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Дата __ ______ _____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.</w:t>
            </w:r>
          </w:p>
        </w:tc>
      </w:tr>
      <w:tr w:rsidR="00CF3BC2">
        <w:trPr>
          <w:trHeight w:val="488"/>
        </w:trPr>
        <w:tc>
          <w:tcPr>
            <w:tcW w:w="9027" w:type="dxa"/>
            <w:gridSpan w:val="2"/>
          </w:tcPr>
          <w:p w:rsidR="00CF3BC2" w:rsidRDefault="00CF3BC2"/>
        </w:tc>
      </w:tr>
    </w:tbl>
    <w:p w:rsidR="00CF3BC2" w:rsidRDefault="00CF3BC2">
      <w:pPr>
        <w:sectPr w:rsidR="00CF3BC2">
          <w:pgSz w:w="11906" w:h="16838"/>
          <w:pgMar w:top="567" w:right="1134" w:bottom="517" w:left="1701" w:header="567" w:footer="517" w:gutter="0"/>
          <w:cols w:space="1701"/>
          <w:docGrid w:linePitch="36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3611"/>
        <w:gridCol w:w="1246"/>
        <w:gridCol w:w="1920"/>
        <w:gridCol w:w="1806"/>
        <w:gridCol w:w="1920"/>
        <w:gridCol w:w="4628"/>
        <w:gridCol w:w="57"/>
      </w:tblGrid>
      <w:tr w:rsidR="00CF3BC2">
        <w:trPr>
          <w:trHeight w:val="558"/>
        </w:trPr>
        <w:tc>
          <w:tcPr>
            <w:tcW w:w="15575" w:type="dxa"/>
            <w:gridSpan w:val="7"/>
            <w:shd w:val="clear" w:color="auto" w:fill="FFFFFF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I. Табличная часть доклада</w:t>
            </w:r>
          </w:p>
        </w:tc>
        <w:tc>
          <w:tcPr>
            <w:tcW w:w="57" w:type="dxa"/>
          </w:tcPr>
          <w:p w:rsidR="00CF3BC2" w:rsidRDefault="00CF3BC2"/>
        </w:tc>
      </w:tr>
      <w:tr w:rsidR="00CF3BC2">
        <w:trPr>
          <w:trHeight w:val="1362"/>
        </w:trPr>
        <w:tc>
          <w:tcPr>
            <w:tcW w:w="15575" w:type="dxa"/>
            <w:gridSpan w:val="7"/>
            <w:shd w:val="clear" w:color="auto" w:fill="FFFFFF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 xml:space="preserve">Достигнутые значения ключевых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показателей эффективности деятельности управленческой команды органов местного 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 xml:space="preserve"> района  «Чернянский район» Белгородской области за «2024» год</w:t>
            </w:r>
          </w:p>
        </w:tc>
        <w:tc>
          <w:tcPr>
            <w:tcW w:w="57" w:type="dxa"/>
          </w:tcPr>
          <w:p w:rsidR="00CF3BC2" w:rsidRDefault="00CF3BC2"/>
        </w:tc>
      </w:tr>
      <w:tr w:rsidR="00CF3BC2">
        <w:trPr>
          <w:trHeight w:val="558"/>
        </w:trPr>
        <w:tc>
          <w:tcPr>
            <w:tcW w:w="15575" w:type="dxa"/>
            <w:gridSpan w:val="7"/>
            <w:shd w:val="clear" w:color="auto" w:fill="FFFFFF"/>
            <w:vAlign w:val="center"/>
          </w:tcPr>
          <w:p w:rsidR="00CF3BC2" w:rsidRDefault="00CF3BC2"/>
        </w:tc>
        <w:tc>
          <w:tcPr>
            <w:tcW w:w="57" w:type="dxa"/>
          </w:tcPr>
          <w:p w:rsidR="00CF3BC2" w:rsidRDefault="00CF3BC2"/>
        </w:tc>
      </w:tr>
      <w:tr w:rsidR="00CF3BC2">
        <w:trPr>
          <w:trHeight w:val="7336"/>
        </w:trPr>
        <w:tc>
          <w:tcPr>
            <w:tcW w:w="15575" w:type="dxa"/>
            <w:gridSpan w:val="7"/>
            <w:shd w:val="clear" w:color="auto" w:fill="FFFFFF"/>
          </w:tcPr>
          <w:p w:rsidR="00CF3BC2" w:rsidRDefault="005F169B">
            <w:pPr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         Доклад главы администрации «Чернянского района» Белгородской области о достигнутых значениях ключевых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показателей эффективности деятельности управленческой команды органов местного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самоуправления «Чернянского района» Белгородской области (далее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оответственно – доклад, КПЭ, ОМСУ) за отчётный год состоит из двух частей: типовой (табличной) и текстовой (аналитической).  </w:t>
            </w:r>
          </w:p>
          <w:p w:rsidR="00CF3BC2" w:rsidRDefault="005F169B">
            <w:pPr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         В табличной части доклада отражена информация о достигнутых значениях КПЭ управленческой команды ОМСУ за отчетный год.</w:t>
            </w:r>
          </w:p>
          <w:p w:rsidR="00CF3BC2" w:rsidRDefault="005F169B">
            <w:pPr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         Перечень КПЭ ОМСУ формируется ежегодно методом декомпозиции на местный уровень показателей региона, направленных на реализацию национальных проектов, государственных программ, удовлетворение потребностей жителей в комфортных условиях жизнедеятель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ности. Состав КПЭ, методики их расчетов, а также целевые значения КПЭ ежегодно утверждаются нормативным правовым актом Белгородской области. </w:t>
            </w:r>
          </w:p>
          <w:p w:rsidR="00CF3BC2" w:rsidRDefault="005F169B">
            <w:pPr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         По каждому КПЭ приводятся:</w:t>
            </w:r>
          </w:p>
          <w:p w:rsidR="00CF3BC2" w:rsidRDefault="005F169B">
            <w:pPr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         - фактическое значение за год, предшествующий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отчетному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;</w:t>
            </w:r>
          </w:p>
          <w:p w:rsidR="00CF3BC2" w:rsidRDefault="005F169B">
            <w:pPr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- значение за отчетный год;</w:t>
            </w:r>
          </w:p>
          <w:p w:rsidR="00CF3BC2" w:rsidRDefault="005F169B">
            <w:pPr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         - целевое значение КПЭ, утверждённое постановлением Губернатора Белгородской области от 29 августа 2024 года № 130 «О мониторинге и оценке достигнутых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значений ключевых показателей эффективности деятельности управленче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ских команд органов местного самоуправления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муниципальных, городских округов и муниципальных районов Белгородской области»; </w:t>
            </w:r>
          </w:p>
          <w:p w:rsidR="00CF3BC2" w:rsidRDefault="005F169B">
            <w:pPr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- в графе «Примечание» – краткое обоснование достигнутых значений КПЭ в отчетном периоде; меры, реализуемые ОМСУ, с помощ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ью которых удалось улучшить значения тех или иных КПЭ; пояснения по КПЭ с отрицательной динамикой развития с указанием перечня мер, реализуемых или планируемых к реализации для достижения наилучших значений КПЭ; информация о ходе реализации реформ и степен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и достижения установленных целевых индикаторов. </w:t>
            </w:r>
            <w:proofErr w:type="gramEnd"/>
          </w:p>
        </w:tc>
        <w:tc>
          <w:tcPr>
            <w:tcW w:w="57" w:type="dxa"/>
          </w:tcPr>
          <w:p w:rsidR="00CF3BC2" w:rsidRDefault="00CF3BC2"/>
        </w:tc>
      </w:tr>
      <w:tr w:rsidR="00CF3BC2">
        <w:trPr>
          <w:trHeight w:val="1362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/п</w:t>
            </w:r>
          </w:p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Наименование КПЭ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Единица измерения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Значение</w:t>
            </w:r>
          </w:p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КПЭ за год, предшествующий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отчетному</w:t>
            </w:r>
            <w:proofErr w:type="gramEnd"/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Значение КПЭ</w:t>
            </w:r>
          </w:p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за отчетный год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Целевое</w:t>
            </w:r>
          </w:p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значение КПЭ</w:t>
            </w:r>
          </w:p>
        </w:tc>
        <w:tc>
          <w:tcPr>
            <w:tcW w:w="4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Примечание</w:t>
            </w:r>
          </w:p>
        </w:tc>
      </w:tr>
      <w:tr w:rsidR="00CF3BC2">
        <w:trPr>
          <w:trHeight w:val="444"/>
        </w:trPr>
        <w:tc>
          <w:tcPr>
            <w:tcW w:w="156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Региональные отраслевые КПЭ</w:t>
            </w:r>
          </w:p>
        </w:tc>
      </w:tr>
      <w:tr w:rsidR="00CF3BC2">
        <w:trPr>
          <w:trHeight w:val="458"/>
        </w:trPr>
        <w:tc>
          <w:tcPr>
            <w:tcW w:w="156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доверия к власти</w:t>
            </w:r>
          </w:p>
        </w:tc>
      </w:tr>
      <w:tr w:rsidR="00CF3BC2">
        <w:trPr>
          <w:trHeight w:val="3425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доверия к власти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1.05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1.01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основании результатов социологического исследования, проводимых АНО «Консалтинговое агентство социального мониторинга и массовых коммуникаций»     в рамках реализации госуд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арственной программы Белгородской области «Обеспечение населения Белгородской области информацией о приоритетных направлениях региональной политики», утвержденной постановлением Правительства Белгородской области           от 16 декабря 2013 года № 511-пп.</w:t>
            </w:r>
          </w:p>
        </w:tc>
      </w:tr>
      <w:tr w:rsidR="00CF3BC2">
        <w:trPr>
          <w:trHeight w:val="444"/>
        </w:trPr>
        <w:tc>
          <w:tcPr>
            <w:tcW w:w="156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вовлечения населения на военную службу по контракту</w:t>
            </w:r>
          </w:p>
        </w:tc>
      </w:tr>
      <w:tr w:rsidR="00CF3BC2">
        <w:trPr>
          <w:trHeight w:val="130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граждан, поступивших на военную службу по контракту в Вооруженные Силы Российской Федерации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101.14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4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Мониторинг показателя осуществляется с 2024 года. Целевой показатель выполнен в полном объеме (план - 88 чел., факт - 89 чел.)</w:t>
            </w:r>
          </w:p>
        </w:tc>
      </w:tr>
      <w:tr w:rsidR="00CF3BC2">
        <w:trPr>
          <w:trHeight w:val="459"/>
        </w:trPr>
        <w:tc>
          <w:tcPr>
            <w:tcW w:w="156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экономического развития</w:t>
            </w:r>
          </w:p>
        </w:tc>
      </w:tr>
      <w:tr w:rsidR="00CF3BC2">
        <w:trPr>
          <w:trHeight w:val="422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</w:t>
            </w:r>
          </w:p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Доля выявленных правообладателей ранее учтенных объектов недвижимости, правоустанавливающие документы на которые оформлены до дня вступления в силу Федерального закона от 21 июля 1997 года № 122-ФЗ (утратил силу), 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права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на которые не зарегистрированы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Едином государственном реестре недвижимости, а также снятых с кадастрового учета раннее учтенных объектов недвижимости, прекративших свое существование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23.62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23.61</w:t>
            </w:r>
          </w:p>
        </w:tc>
        <w:tc>
          <w:tcPr>
            <w:tcW w:w="4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Целевой показатель выполнен на 100%. Значение показателя достигнуто за счет сняты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 с кадастрового учета объектов на основании актов осмотра и в рамках проведенных работ по верификации сведений ЕГРН (дубли), а также от  зарегистрированных прав собственности     на ранее учтённые объекты.</w:t>
            </w:r>
          </w:p>
        </w:tc>
      </w:tr>
      <w:tr w:rsidR="00CF3BC2">
        <w:trPr>
          <w:trHeight w:val="2092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Количество брошенных домовладений, в отношении которых ОМСУ проведены работы по повторному вовлечению в их оборот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</w:t>
            </w:r>
          </w:p>
        </w:tc>
        <w:tc>
          <w:tcPr>
            <w:tcW w:w="4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Мониторинг показателя осуществляется с 2024 года. За отчетный год  проведены ряд мероприятий по выявлению правообладателей 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ее учтенных объектов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недвижимости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 результате чего 55 домовладений приведены в надлежащее состояние.</w:t>
            </w:r>
          </w:p>
        </w:tc>
      </w:tr>
      <w:tr w:rsidR="00CF3BC2">
        <w:trPr>
          <w:trHeight w:val="52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</w:t>
            </w:r>
          </w:p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Содействие развитию конкуренции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балл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10.11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4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Целевой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не достигнут в связи с тем, что в показателях дорожной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карты развития конкуренции отсутствуют дополнительные товарные рынки (в  текущем году в дорожную карту по развитию конкуренции добавлены дополнительные товарные рынки это рынок продукции пчеловодства и рынок производства кормов для продуктивных животных).</w:t>
            </w:r>
          </w:p>
        </w:tc>
      </w:tr>
      <w:tr w:rsidR="00CF3BC2">
        <w:trPr>
          <w:trHeight w:val="236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Среднемесячная номинальная начисленная заработная плата работников по организациям, не относящимся к субъектам малого предпринимательства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рубль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49109.6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57050.9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52645.5</w:t>
            </w:r>
          </w:p>
        </w:tc>
        <w:tc>
          <w:tcPr>
            <w:tcW w:w="4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Целевой показатель выполн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ен. Рост показателя по сравнению с прошлым годом составил 16,2%. Этому способствовали проводимые мероприятия по мониторингу среднемесячной заработной платы, по недопущению неформальной занятости. Средняя заработная плата выросла по всем отраслям экономики.</w:t>
            </w:r>
          </w:p>
        </w:tc>
      </w:tr>
      <w:tr w:rsidR="00CF3BC2">
        <w:trPr>
          <w:trHeight w:val="289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инвестиций в основной капитал (без субъектов малого предпринимательства и параметров неформальной деятельности)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87.9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129.5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103.4</w:t>
            </w:r>
          </w:p>
        </w:tc>
        <w:tc>
          <w:tcPr>
            <w:tcW w:w="4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Целевой показатель выполнен на 125,2%, Увеличение инвестиций произошло за счет реализации инвестиционного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роекта "Модернизация сахарных заводов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РусАгро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на территории Белгородской области для увеличения объемов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производства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объем инвестиций за 2024 год составил 2172,5 млн рублей, что на 39,6 % выше соответствующего периода 2023 года в сопоставимых ценах. </w:t>
            </w:r>
          </w:p>
        </w:tc>
      </w:tr>
      <w:tr w:rsidR="00CF3BC2">
        <w:trPr>
          <w:trHeight w:val="183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8</w:t>
            </w:r>
          </w:p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Воспроизводство плодородия почв за счет применения органических удобрений и (или) побочных продуктов животноводства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4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Показатель выполнен в результате наращивания объемов производства основной продукции увеличение объемов произведенных (вывезенных) и внесенных в почву органических удобрений и (или) побочных продуктов животноводства.</w:t>
            </w:r>
          </w:p>
        </w:tc>
      </w:tr>
      <w:tr w:rsidR="00CF3BC2">
        <w:trPr>
          <w:trHeight w:val="369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соответствующих нормативным требованиям автомобильных дорог регионального значения и автомобильных дорог в городских агломерациях (для муниципальных образований области, участвующих в отчетном году в реализации федерального проекта "Дорожная сеть" нац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ионального проекта "Безопасные качественные дороги" </w:t>
            </w:r>
            <w:proofErr w:type="gramEnd"/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4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 2024 году  район не участвует в реализации национального проекта.</w:t>
            </w:r>
          </w:p>
        </w:tc>
      </w:tr>
      <w:tr w:rsidR="00CF3BC2">
        <w:trPr>
          <w:trHeight w:val="2092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выданных в электронном виде градостроительных планов земельных участков на земельный участок с видом разрешенного использования, предусматривающим размещение "модельного" объекта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4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Мониторинг осуществляется с 2024 года, исполнение показате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ля обусловлено тем, что ГПЗУ на участки под модельные объекты не выдавались.</w:t>
            </w:r>
          </w:p>
        </w:tc>
      </w:tr>
      <w:tr w:rsidR="00CF3BC2">
        <w:trPr>
          <w:trHeight w:val="2622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размещенных в государственной информационной системе обеспечения градостроительной деятельности Белгородской области (ГИСОГД) разрешений на строительство и ввод объектов в эксплуатацию, выданных с 2018 года по 31 декабря отчетного года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00</w:t>
            </w:r>
          </w:p>
        </w:tc>
        <w:tc>
          <w:tcPr>
            <w:tcW w:w="4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Мониторинг показателя осуществляется с 2024 года. </w:t>
            </w:r>
          </w:p>
        </w:tc>
      </w:tr>
      <w:tr w:rsidR="00CF3BC2">
        <w:trPr>
          <w:trHeight w:val="181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12</w:t>
            </w:r>
          </w:p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Качество подготовки генеральных планов муниципальных образований области в части отсутствия пересечений границ населенных пунктов с землями лесного фонда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отсутствие (1)/наличие (0)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Показатель выполнен на 100%. Все пересечения границ населенных пунктов с землями лесного фонда устранены.</w:t>
            </w:r>
          </w:p>
        </w:tc>
      </w:tr>
      <w:tr w:rsidR="00CF3BC2">
        <w:trPr>
          <w:trHeight w:val="459"/>
        </w:trPr>
        <w:tc>
          <w:tcPr>
            <w:tcW w:w="156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социального обеспечения</w:t>
            </w:r>
          </w:p>
        </w:tc>
      </w:tr>
      <w:tr w:rsidR="00CF3BC2">
        <w:trPr>
          <w:trHeight w:val="289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Количество граждан, старше 18 лет прошедших профилактические осмотры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человек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1946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4602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4602</w:t>
            </w:r>
          </w:p>
        </w:tc>
        <w:tc>
          <w:tcPr>
            <w:tcW w:w="4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Целевой показатель выполнен на 100%. Выполнение плана связано с выездом мобильных бригад на село, "Врачи в село". Лица проживающие в сельской местности, в том числе и лица старшего трудоспособного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возраста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смогли пройти комплексное обследование не выезжая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 пределы села. Проводились подворные обходы с целью привлечения лиц для прохождения профилактических медицинских осмотров.</w:t>
            </w:r>
          </w:p>
        </w:tc>
      </w:tr>
      <w:tr w:rsidR="00CF3BC2">
        <w:trPr>
          <w:trHeight w:val="289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</w:t>
            </w:r>
          </w:p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Количество граждан, старше 18 лет прошедших диспансеризацию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человек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9941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10697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10693</w:t>
            </w:r>
          </w:p>
        </w:tc>
        <w:tc>
          <w:tcPr>
            <w:tcW w:w="4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Большую роль в выполнении плана по диспансеризации в 2024 году сыграла информационная работа с населением о пользе прохождения диспансеризации, а так же с выездом "Врачи в село" по сельским поселениям. Лица проживающие в сельской местности, в том числе и 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ица старшего трудоспособного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возраста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смогли пройти комплексное обследование не выезжая за пределы села.</w:t>
            </w:r>
          </w:p>
        </w:tc>
      </w:tr>
      <w:tr w:rsidR="00CF3BC2">
        <w:trPr>
          <w:trHeight w:val="1290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</w:t>
            </w:r>
          </w:p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Выполнение плана профилактических прививок, включенных в национальный календарь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96.75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104.12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</w:t>
            </w:r>
          </w:p>
        </w:tc>
        <w:tc>
          <w:tcPr>
            <w:tcW w:w="4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Выполнение плана профилактических прививок  перевыполнено на 9,6 % </w:t>
            </w:r>
          </w:p>
        </w:tc>
      </w:tr>
      <w:tr w:rsidR="00CF3BC2">
        <w:trPr>
          <w:trHeight w:val="289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16</w:t>
            </w:r>
          </w:p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работающего населения, не вошедшего в план профилактических прививок, прошедшего вакцинацию против гриппа за счет работодателей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4.94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10.93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4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Выполнению плана профилактических прививок за счет работодателя в 2024 году способствовало своевременное заключение договоров с предприятиями, по закупке вакцины против гриппа, а также информационная работа с населением о необходимости проведения вакцинаци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и  против гриппа.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 текущем году работа с работодателями по заключению договоров о закупке вакцины против гриппа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будет продолжена.</w:t>
            </w:r>
          </w:p>
        </w:tc>
      </w:tr>
      <w:tr w:rsidR="00CF3BC2">
        <w:trPr>
          <w:trHeight w:val="2622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</w:t>
            </w:r>
          </w:p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Удельный вес численности обучающихся муниципального образования области по основным образовательным программам основного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общего и среднего общего образования, принявших участие в региональном этапе всероссийской олимпиады школьников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0.02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0.02</w:t>
            </w:r>
          </w:p>
        </w:tc>
        <w:tc>
          <w:tcPr>
            <w:tcW w:w="4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Целевой показатель выполнен в полном объеме.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Чернянском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районе создан центр по работе с одаренными детьми. На базе общеобразовательных организаций проводится работа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 показывающими повышенный уровень знаний по предметам.</w:t>
            </w:r>
          </w:p>
        </w:tc>
      </w:tr>
      <w:tr w:rsidR="00CF3BC2">
        <w:trPr>
          <w:trHeight w:val="183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</w:t>
            </w:r>
          </w:p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Доля одаренных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 талантливых детей муниципального образования области, получивших адресную поддержку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4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Мониторинг показателя осуществляется с 2024 года.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Чернянском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районе создан центр по работе с одаренными детьми. На базе общеобразовательных 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й проводится работа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 показывающими повышенный уровень знаний по предметам.</w:t>
            </w:r>
          </w:p>
        </w:tc>
      </w:tr>
      <w:tr w:rsidR="00CF3BC2">
        <w:trPr>
          <w:trHeight w:val="3166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19</w:t>
            </w:r>
          </w:p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Коэффициент реализации комплекса мер поддержки одаренных и талантливых детей на территории муниципального образования области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коэффициент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</w:t>
            </w:r>
          </w:p>
        </w:tc>
        <w:tc>
          <w:tcPr>
            <w:tcW w:w="4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Мониторинг показателя осуществляется с 2024 года. Целевой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не достигнут в полном объеме т.к. в отчетном периоде не утверждена премия главы администрации.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Чернянском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районе утверждено решение муниципального совета "О мерах поддержки одаренных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тей, обучающихся в общеобразовательных организациях, расположенных на территории муниципального района «Чернянский  район» Белгородской области, и их наставников".</w:t>
            </w:r>
          </w:p>
        </w:tc>
      </w:tr>
      <w:tr w:rsidR="00CF3BC2">
        <w:trPr>
          <w:trHeight w:val="343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выпускников (обучающиеся 9 классов) общеобразовательных 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ганизаций муниципального образования области, поступивших на программы среднего профессионального образования в профессиональные образовательные организации и образовательные организации высшего образования, расположенные на территории Белгородской области</w:t>
            </w:r>
            <w:proofErr w:type="gramEnd"/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66.05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67.02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67.4</w:t>
            </w:r>
          </w:p>
        </w:tc>
        <w:tc>
          <w:tcPr>
            <w:tcW w:w="4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работа организуется в соответствии с муниципальной программой «Организация системы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работы в образовательных учреждениях «Чернянского района». Целевое значение не достигнуто на 0,6%, поскольку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часть выпускников выбрали обучение за пределами области.</w:t>
            </w:r>
          </w:p>
        </w:tc>
      </w:tr>
      <w:tr w:rsidR="00CF3BC2">
        <w:trPr>
          <w:trHeight w:val="342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</w:t>
            </w:r>
          </w:p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выпускников (обучающихся 11 классов) общеобразовательных 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ганизаций муниципального образования области, поступивших на программы среднего профессионального образования в профессиональные образовательные организации и образовательные организации высшего образования, расположенные на территории Белгородской области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17.17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17.07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17.4</w:t>
            </w:r>
          </w:p>
        </w:tc>
        <w:tc>
          <w:tcPr>
            <w:tcW w:w="4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Целевой показатель не выполнен на 1,9% в связи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 что часть выпускников поступили в образовательные организации за пределами Белгородской области.</w:t>
            </w:r>
          </w:p>
        </w:tc>
      </w:tr>
      <w:tr w:rsidR="00CF3BC2">
        <w:trPr>
          <w:trHeight w:val="2092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22</w:t>
            </w:r>
          </w:p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учащихся 10 - 11 классов общеобразовательных организаций муниципального образования области, освоивших программы профессионального обучения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4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Программы профессионального обучения осваивают обучающиеся 10 и 11 классов на базе ОГАПОУ 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Чернянский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агромеханический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техникум» и 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Чернянская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СОШ №1 с УИОП» (программа «Младшая медицинская сестра по уходу за больными»)</w:t>
            </w:r>
          </w:p>
        </w:tc>
      </w:tr>
      <w:tr w:rsidR="00CF3BC2">
        <w:trPr>
          <w:trHeight w:val="2895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</w:t>
            </w:r>
          </w:p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выпускников медицинских классов в текущем календарном году, поступивших в образовательные организации Белгородской области, реализующие программы высшего и среднего профессионального образования медицинского профиля, в том числе по целевому договору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роцент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22.2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4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Целевой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достигнут в полном объеме, все выпускники медицинских классов поступили в образовательные организации Белгородской области.</w:t>
            </w:r>
          </w:p>
        </w:tc>
      </w:tr>
      <w:tr w:rsidR="00CF3BC2">
        <w:trPr>
          <w:trHeight w:val="444"/>
        </w:trPr>
        <w:tc>
          <w:tcPr>
            <w:tcW w:w="156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Обеспечение мероприятий по сокращению смертности и травматизма в результате дорожно-транспортных происшествий</w:t>
            </w:r>
          </w:p>
        </w:tc>
      </w:tr>
      <w:tr w:rsidR="00CF3BC2">
        <w:trPr>
          <w:trHeight w:val="183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</w:t>
            </w:r>
          </w:p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снижения смертности в результате дорожно-транспортных происшествий на территории муниципального образования области в отчетном году,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расчете на 100000 человек населения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случаев на 100 000 человек населения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6.86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20.83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6.8</w:t>
            </w:r>
          </w:p>
        </w:tc>
        <w:tc>
          <w:tcPr>
            <w:tcW w:w="4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Увеличение показателя обусловлено тем, что на территории района увеличилось количество ДТП по итогам отчетного года, а также снижение численности населения.</w:t>
            </w:r>
          </w:p>
        </w:tc>
      </w:tr>
      <w:tr w:rsidR="00CF3BC2">
        <w:trPr>
          <w:trHeight w:val="2622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</w:t>
            </w:r>
          </w:p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обучающихся общеобразовательных организаций муниципального образования области, охваченных в отчетном году образовательными программами по профилактике детского дорожно-транспортного травматизма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</w:t>
            </w:r>
          </w:p>
        </w:tc>
        <w:tc>
          <w:tcPr>
            <w:tcW w:w="4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Чернянском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районе регулярно проводятся  профилактические беседы с обучающимися и родителями, встречи обучающихся с сотрудниками полиции, МЧС. Еженедельно на базах школ проводятся инструктажи по технике безопасности </w:t>
            </w:r>
          </w:p>
        </w:tc>
      </w:tr>
      <w:tr w:rsidR="00CF3BC2">
        <w:trPr>
          <w:trHeight w:val="2092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26</w:t>
            </w:r>
          </w:p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Доля приведенных в соответствие с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требованиями национальных стандартов пешеходных переходов, расположенных вблизи школ и других учебных заведений муниципального образования области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80.77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84.62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</w:t>
            </w:r>
          </w:p>
        </w:tc>
        <w:tc>
          <w:tcPr>
            <w:tcW w:w="4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Целевой показатель выполнен,  пешеходные переходы, расположенные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 близи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школ и других учебных заведений, приведены к национальным стандартам</w:t>
            </w:r>
          </w:p>
        </w:tc>
      </w:tr>
      <w:tr w:rsidR="00CF3BC2">
        <w:trPr>
          <w:trHeight w:val="316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</w:t>
            </w:r>
          </w:p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Коэффициент реализации и эффективности мероприятий муниципальной программы по безопасности дорожного движения,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утвержденной в отчетном году, в расчете на 1 000 человек населения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коэффициент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0.14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0.34</w:t>
            </w:r>
          </w:p>
        </w:tc>
        <w:tc>
          <w:tcPr>
            <w:tcW w:w="4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Фактический показатель ниже целевого значения, что говорит об эффективности реализации программы. Показатель выполнен за счет исп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олнения мероприятий инженерного характера, направленных на обеспечение безопасности дорожного движения и оказания первой медицинской помощи пострадавшим, а также проводимые мероприятия направлены на формирование правосознания участников дорожного движения.</w:t>
            </w:r>
          </w:p>
        </w:tc>
      </w:tr>
      <w:tr w:rsidR="00CF3BC2">
        <w:trPr>
          <w:trHeight w:val="444"/>
        </w:trPr>
        <w:tc>
          <w:tcPr>
            <w:tcW w:w="156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качества жизни населения</w:t>
            </w:r>
          </w:p>
        </w:tc>
      </w:tr>
      <w:tr w:rsidR="00CF3BC2">
        <w:trPr>
          <w:trHeight w:val="343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</w:t>
            </w:r>
          </w:p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медицинских работников (врачей), трудоустроенных в государственные учреждения здравоохранения Белгородской области, обеспеченных жильем в рамках региональной программы Белгородской области "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Обеспечение жильем медицинских работников государственных учреждений здравоохранения Белгородской области на 2021 - 2025 годы"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4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Целевой показатель выполнен в полном объеме. В рамках реализации программы "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Обеспечение жильем медицинских работников государственных учреждений здравоохранения Белгородской области на 2021 - 2025 годы" все запланированные мероприятия выполнены.</w:t>
            </w:r>
          </w:p>
        </w:tc>
      </w:tr>
      <w:tr w:rsidR="00CF3BC2">
        <w:trPr>
          <w:trHeight w:val="4212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29</w:t>
            </w:r>
          </w:p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Доля студентов, поступивших в медицинские образовательные организации высшего образования Российской Федерации, включая ФГАОУ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"Белгородский государственный национальный исследовательский университет" (НИУ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БелГУ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") (медицинские вузы), заключивших договор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о целевом обучении на медицинские специальности по программам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специалитета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 в котором министерство здравоохранения Белгородской области выступает заказчиком целевого обучения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</w:t>
            </w:r>
          </w:p>
        </w:tc>
        <w:tc>
          <w:tcPr>
            <w:tcW w:w="4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Целевой показатель выполнен, в 2024 году 1  студент, заключил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договор о целевом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обучении по специальности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«Лечебное дело»  по программам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специалитета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 в котором министерство здравоохранения Белгородской области выступает заказчиком целевого обучения.</w:t>
            </w:r>
          </w:p>
        </w:tc>
      </w:tr>
      <w:tr w:rsidR="00CF3BC2">
        <w:trPr>
          <w:trHeight w:val="289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</w:t>
            </w:r>
          </w:p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я трудоустроенных выпускников медицинских вузов, завершивших в отчетном году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обучение по договору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о целевом обучении по программам ординатуры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специалитета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 в котором министерство здравоохранения Белгородской области выступает заказчиком целевого обучения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4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В 2024 году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трудоустроены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4  выпускника медицинских вузов, завершивших в отчетном году обучение по договору о целевом обучении по программам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специалитета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. Один выпускник расторг договор о целевом обучении, произведена компенсация социал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ьных выплат на получение стипендии.</w:t>
            </w:r>
          </w:p>
        </w:tc>
      </w:tr>
      <w:tr w:rsidR="00CF3BC2">
        <w:trPr>
          <w:trHeight w:val="2092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</w:t>
            </w:r>
          </w:p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Естественный прирост населения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промилле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-8.8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-8.7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-8.8</w:t>
            </w:r>
          </w:p>
        </w:tc>
        <w:tc>
          <w:tcPr>
            <w:tcW w:w="4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 районе реализуется комплекс мероприятий материального и нематериального стимулирования роста рождаемости. Кроме этого, проводится комплекс мероприятий, направленных на снижение смертности от заболеваний и увеличение продолжительности жизни.</w:t>
            </w:r>
          </w:p>
        </w:tc>
      </w:tr>
      <w:tr w:rsidR="00CF3BC2">
        <w:trPr>
          <w:trHeight w:val="1820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32</w:t>
            </w:r>
          </w:p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Количество семей в муниципальном образовании области, построивших индивидуальный жилой дом за счет собственных и заемных средств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67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93</w:t>
            </w:r>
          </w:p>
        </w:tc>
        <w:tc>
          <w:tcPr>
            <w:tcW w:w="4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Снижение показателя обусловлено увеличением процентной ставки ипотечного кредитования, ростом потребительских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цен и не высоким уровнем заработной платы.</w:t>
            </w:r>
          </w:p>
        </w:tc>
      </w:tr>
      <w:tr w:rsidR="00CF3BC2">
        <w:trPr>
          <w:trHeight w:val="130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</w:t>
            </w:r>
          </w:p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Количество благоустроенных территорий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4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Целевой показатель выполнен. Реализация государственной программы «Формирование современной городской среды на территории Белгородской области» в 2024 году.</w:t>
            </w:r>
          </w:p>
        </w:tc>
      </w:tr>
      <w:tr w:rsidR="00CF3BC2">
        <w:trPr>
          <w:trHeight w:val="128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</w:t>
            </w:r>
          </w:p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ликвидированных несанкционированных свалок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4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Целевой показатель выполнен. Все выявленные несанкционированные свалки на подведомственной территории ликвидированы.</w:t>
            </w:r>
          </w:p>
        </w:tc>
      </w:tr>
      <w:tr w:rsidR="00CF3BC2">
        <w:trPr>
          <w:trHeight w:val="449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</w:t>
            </w:r>
          </w:p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Доля объектов жилого фонда (многоквартирных домов), находящихся в управлении управляющих организаций, по которым ОМСУ утвержден экономически обоснованный размер платы за содержание жилого помещения для собственников и нанимателей помещений многоквартирных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домов,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</w:t>
            </w:r>
            <w:proofErr w:type="gramEnd"/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</w:t>
            </w:r>
          </w:p>
        </w:tc>
        <w:tc>
          <w:tcPr>
            <w:tcW w:w="4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Показатель выполнен на 125%. На территории района приняты НПА утверждающие эко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номически обоснованный размер платы за содержание жилого помещения для собственников и нанимателей помещений МКД  № 300-р от 27.05.2024 г.</w:t>
            </w:r>
          </w:p>
        </w:tc>
      </w:tr>
      <w:tr w:rsidR="00CF3BC2">
        <w:trPr>
          <w:trHeight w:val="2622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36</w:t>
            </w:r>
          </w:p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объектов жилого фонда (МКД), не находящихся на обслуживании в управляющих организациях, товарищеских обществах жилья, жилищно-строительных кооперативах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4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Показатель выполнен на 100%. Одним из способов управления МКД является непосредст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венное управление им собственниками помещений, который выбирается на общем собрании. В соответствии с п.1 ч.2 ст.161 Жилищного кодекса РФ выбор этого способа управления  возможен в случаях, когда количество квартир в доме не превышает 30.</w:t>
            </w:r>
          </w:p>
        </w:tc>
      </w:tr>
      <w:tr w:rsidR="00CF3BC2">
        <w:trPr>
          <w:trHeight w:val="2636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</w:t>
            </w:r>
          </w:p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73.47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73.47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73.47</w:t>
            </w:r>
          </w:p>
        </w:tc>
        <w:tc>
          <w:tcPr>
            <w:tcW w:w="4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Целевой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достигнут в полном объеме. Все запланированные мероприятия по программе обеспечения чистой питьевой водой в 202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4 году перенеслись на 2025 год, на общую сумму  2 729,8 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 в том числе: 1.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Проектирование водозаборной скважины с. Хитрово - 914,8 тыс. руб., 2.Проектирование строительства сетей водоснабжения п. Чернянка -  1 815 тыс. руб.</w:t>
            </w:r>
          </w:p>
        </w:tc>
      </w:tr>
      <w:tr w:rsidR="00CF3BC2">
        <w:trPr>
          <w:trHeight w:val="4771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</w:t>
            </w:r>
          </w:p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Количество граждан, занимающихся добровольческой (волонтерской) деятельностью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12800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12400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12400</w:t>
            </w:r>
          </w:p>
        </w:tc>
        <w:tc>
          <w:tcPr>
            <w:tcW w:w="4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Целевой показатель выполнен. Активное вовлечение населения в работу штаба. Рост количества участников из числа общеобразовательных учреждений района 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улярная отгрузка гуманитарной помощи военнослужащим, участвующим в СВО. Организационная и финансовая помощь со стороны органов местного самоуправления. Консультационная помощь специалистов регионального уровня. Запланировано увеличение количество вовлеченн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ых людей в добровольческую деятельность путем создания волонтерских групп разной направленности, а также пропаганды необходимости добровольческой деятельности путем привлечения действующих волонтеров</w:t>
            </w:r>
          </w:p>
        </w:tc>
      </w:tr>
      <w:tr w:rsidR="00CF3BC2">
        <w:trPr>
          <w:trHeight w:val="3955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39</w:t>
            </w:r>
          </w:p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загруженности имеющихся на территории муниципального образования области, в том числе в сельской местности, спортивных сооружений: дворовых, общегородских, пришкольных, спортивных залов общеобразовательных учреждений и других образовательных 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ий (в том числе во внеурочное время), физкультурно-оздоровительных комплексов, бассейнов, ледовых арен и других спортивных сооружений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88.7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88.7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88.5</w:t>
            </w:r>
          </w:p>
        </w:tc>
        <w:tc>
          <w:tcPr>
            <w:tcW w:w="4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Целевой показатель выполнен.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Увеличение показателя  достигнуты путем реализации комплекса мероприят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ий, направленных на вовлечение жителей Чернянского района в занятия физической культурой и спортом, проведения мероприятий и соревнований по различным видам спорта, открытия новых спортивных секций и реализации проекта "Дворовый тренер", а также реализации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социальных проектов Портфеля проектов УФКС и МП в 2024 г.; реализации мероприятий ВФСК "ГТО"</w:t>
            </w:r>
            <w:proofErr w:type="gramEnd"/>
          </w:p>
        </w:tc>
      </w:tr>
      <w:tr w:rsidR="00CF3BC2">
        <w:trPr>
          <w:trHeight w:val="4226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</w:t>
            </w:r>
          </w:p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спортсменов, зачисленных в учреждения дополнительного образования сферы физической культуры и спорта, расположенных на 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ритории муниципального образования области, информация о которых внесена в информационную систему "Мой Спорт" и соответствует требованиям передачи в Федеральную государственную информационную систему "Единая цифровая платформа "Физическая культура и спорт"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4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Мониторинг показателя осуществляется с 2024 года. На территории Чернянского района нет учреждений работающих в информационной системе "Мой спорт".</w:t>
            </w:r>
          </w:p>
        </w:tc>
      </w:tr>
      <w:tr w:rsidR="00CF3BC2">
        <w:trPr>
          <w:trHeight w:val="4110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41</w:t>
            </w:r>
          </w:p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Доля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тренеров-преподавателей учреждений дополнительного образования сферы физической культуры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и спорта, расположенных на территории муниципального образования области, информация о которых внесена в информационную систему "Мой Спорт" и соответствует 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аниям передачи в Федеральную государственную информационную систему "Единая цифровая платформа "Физическая культура и спорт"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4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Мониторинг показателя осуществляется с 2024 года. На территории Чернянского района нет учреждений работающих в информ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ационной системе "Мой спорт".</w:t>
            </w:r>
          </w:p>
        </w:tc>
      </w:tr>
      <w:tr w:rsidR="00CF3BC2">
        <w:trPr>
          <w:trHeight w:val="1290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</w:t>
            </w:r>
          </w:p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посещений культурных мероприятий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101.41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102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4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Целевой показатель выполнен в полном объеме. В 2024 году стало больше проводиться масштабных мероприятий, что влечет за собой и увеличение посетителей</w:t>
            </w:r>
          </w:p>
        </w:tc>
      </w:tr>
      <w:tr w:rsidR="00CF3BC2">
        <w:trPr>
          <w:trHeight w:val="2636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</w:t>
            </w:r>
          </w:p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Количество креативных (творческих) пространств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4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Мониторинг показателя осуществляется с 2024 года. За отчетный период создано 5 креативных пространств: креативное пространство на базе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Морквинской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поселенческой библиотеки, на базе Бородинского 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луба - библиотеки "Хуторок", на базе ЦКР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Ездочное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Арт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- светелка",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Малотроицком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сельском поседении - "АРТ - кузня", на базе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Комаревцевского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клуба - библиотеки. </w:t>
            </w:r>
          </w:p>
        </w:tc>
      </w:tr>
      <w:tr w:rsidR="00CF3BC2">
        <w:trPr>
          <w:trHeight w:val="2622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44</w:t>
            </w:r>
          </w:p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Количество проведенных ярмарок креативных индустрий, направленных на удовлетворение спроса населения на отечественную продукцию в области креативных (творческих) индустрий и повышение предложения указанной продукции, за отчетный год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4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Мониторинг показателя осуществляется с 2024 года. Целевой показатель выполнен. За отчетный период проведены 2 ярмарки креативных индустрий, направленных на удовлетворение спроса населения на отечественную продукцию в области креативных индустрий.</w:t>
            </w:r>
          </w:p>
        </w:tc>
      </w:tr>
      <w:tr w:rsidR="00CF3BC2">
        <w:trPr>
          <w:trHeight w:val="459"/>
        </w:trPr>
        <w:tc>
          <w:tcPr>
            <w:tcW w:w="156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Региональные общие КПЭ</w:t>
            </w:r>
          </w:p>
        </w:tc>
      </w:tr>
      <w:tr w:rsidR="00CF3BC2">
        <w:trPr>
          <w:trHeight w:val="289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</w:t>
            </w:r>
          </w:p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Количество практик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муниципальной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цифровизации</w:t>
            </w:r>
            <w:proofErr w:type="spellEnd"/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Целевой показатель выполнен. За отчетный год исполнены ряд мероприятий запланир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ованных в рамках реализации проекта «Оптимизация процесса приема отчетности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выполнением гражданином мероприятий программы социальной адаптации, предусмотренных социальным контрактом в управлении социальной защиты населения Чернянского района»</w:t>
            </w:r>
          </w:p>
        </w:tc>
      </w:tr>
      <w:tr w:rsidR="00CF3BC2">
        <w:trPr>
          <w:trHeight w:val="128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</w:t>
            </w:r>
          </w:p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решений, принятых с участием жителей муниципальных образований области через платформу обратной связи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4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Показатель выполнен в полном объеме. Все решения принятые с участием жителей прошли через платформу обратной связи.</w:t>
            </w:r>
          </w:p>
        </w:tc>
      </w:tr>
      <w:tr w:rsidR="00CF3BC2">
        <w:trPr>
          <w:trHeight w:val="1562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47</w:t>
            </w:r>
          </w:p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публичных слушаний, проведенных с использованием платформы обратной связи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53.62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</w:t>
            </w:r>
          </w:p>
        </w:tc>
        <w:tc>
          <w:tcPr>
            <w:tcW w:w="4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Целевой показатель выполнен. Все публичные слушания проведены с использованием платформы обратной связи, реализованной на Едином портале государственных услуг РФ.</w:t>
            </w:r>
          </w:p>
        </w:tc>
      </w:tr>
      <w:tr w:rsidR="00CF3BC2">
        <w:trPr>
          <w:trHeight w:val="1820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48</w:t>
            </w:r>
          </w:p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Доля обращений и сообщений, поступивших в ОМСУ, обработанных с использованием механизмов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ускоренного решения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68.6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91.62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</w:t>
            </w:r>
          </w:p>
        </w:tc>
        <w:tc>
          <w:tcPr>
            <w:tcW w:w="4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Целевой показатель выполнен за счет отработки жалоб и обращений с использованием механизмов ускоренного решения в системе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Инцедент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Менеджмент", решение которых подтверждено фото или видеоматериалами.</w:t>
            </w:r>
          </w:p>
        </w:tc>
      </w:tr>
      <w:tr w:rsidR="00CF3BC2">
        <w:trPr>
          <w:trHeight w:val="4226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49</w:t>
            </w:r>
          </w:p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Уровень эффективности реализации портфеля проектов 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коэффициент (1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Мониторинг показателя осуществляется с 2024 года. Целевой показатель выполнен в полном объеме. В соответствии с утвержд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енным Портфелем проектов (Распоряжение администрации Чернянского района № 102/1-р от 01.03.2024г.  "Об утверждении портфеля проектов на 2024 год") за отчетный период из 12 новых проектов портфеля, 12  инициированы  и переведены в реализацию без  нарушения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сроков  инициации и  разработки проектной  документации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Все проекты выполнялись без отклонений. Из 10 завершенных проектов, 10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реализованы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успешно, без отклонений. Портфель проектов реализован в полном объеме. </w:t>
            </w:r>
          </w:p>
        </w:tc>
      </w:tr>
      <w:tr w:rsidR="00CF3BC2">
        <w:trPr>
          <w:trHeight w:val="369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</w:t>
            </w:r>
          </w:p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Обеспеченность администраций 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ых образований области проектами высокого уровня сложности с последующей их реализацией в отчетном году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4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Мониторинг показателя осуществляется с 2024 года. Целевой показатель выполнен в полном объеме.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 соответствии с утвержденным Портфелем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проектов (Распоряжение администрации Чернянского района № 102/1-р от 01.03.2024г.  "Об утверждении портфеля проектов на 2024 год")     из запланированных к инициации и  реализации  в 2024 году    12  новых проектов, инициировано 12  проектов высокого уров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ня сложности по 12  приоритетным направлениям из них- 1 личный проект главы администрации района.</w:t>
            </w:r>
            <w:proofErr w:type="gramEnd"/>
          </w:p>
        </w:tc>
      </w:tr>
      <w:tr w:rsidR="00CF3BC2">
        <w:trPr>
          <w:trHeight w:val="342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51</w:t>
            </w:r>
          </w:p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Обеспеченность администраций муниципальных образований области бережливыми проектами высокого уровня сложности с последующей их реализацией в отчетном году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4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Мониторинг показателя осуществляется с 2024 года. Целевой показатель выполнен в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лном объеме.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 соответствии с утвержденным Портфелем проектов (Распоряжение администрации Чернянского района № 102/1-р от 01.03.2024г. "Об утверждении портфеля проектов на 2024 год")  из запланированных к инициации и реализации  в 2024 году 12 новых проект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ов, инициировано 3 бережливых проектов высокого уровня сложности по 3 приоритетным направлениям. </w:t>
            </w:r>
            <w:proofErr w:type="gramEnd"/>
          </w:p>
        </w:tc>
      </w:tr>
      <w:tr w:rsidR="00CF3BC2">
        <w:trPr>
          <w:trHeight w:val="263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52</w:t>
            </w:r>
          </w:p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Удельный вес налоговых и неналоговых доходов консолидированного бюджета муниципального образования в общем объеме доходов консолидированного бюджета муниципального образования области (в сопоставимых условиях)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28.87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35.69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4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Достижение данного пока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зателя сложилось за счет увеличения налоговых поступлений по налогу на доходы физических лиц, в связи с увеличением фонда оплаты труда на предприятиях и организациях Чернянского района, а также за счет работы по легализации трудовых отношений.  </w:t>
            </w:r>
          </w:p>
        </w:tc>
      </w:tr>
      <w:tr w:rsidR="00CF3BC2">
        <w:trPr>
          <w:trHeight w:val="2895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53</w:t>
            </w:r>
          </w:p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жителей муниципального образования области, принявших в отчетном году участие в опросах населения с применением информационно-телекоммуникационных сетей и информационных технологий по оценке эффективности деятельности руководителей ОМСУ и организаций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23.12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4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CF3BC2" w:rsidRDefault="005F169B">
            <w:pPr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Целевой показатель выполнен. Рост показателя обусловлен увеличением активности жителей принявших участие в опросах</w:t>
            </w:r>
          </w:p>
        </w:tc>
      </w:tr>
    </w:tbl>
    <w:p w:rsidR="00CF3BC2" w:rsidRDefault="00CF3BC2">
      <w:pPr>
        <w:sectPr w:rsidR="00CF3BC2">
          <w:pgSz w:w="16838" w:h="11906" w:orient="landscape"/>
          <w:pgMar w:top="567" w:right="567" w:bottom="517" w:left="567" w:header="567" w:footer="517" w:gutter="0"/>
          <w:cols w:space="1701"/>
          <w:docGrid w:linePitch="360"/>
        </w:sectPr>
      </w:pPr>
    </w:p>
    <w:p w:rsidR="00CF3BC2" w:rsidRDefault="005F169B">
      <w:pPr>
        <w:spacing w:after="0"/>
        <w:ind w:hanging="1"/>
        <w:jc w:val="center"/>
      </w:pPr>
      <w:r>
        <w:rPr>
          <w:rFonts w:ascii="Times New Roman" w:eastAsia="Times New Roman" w:hAnsi="Times New Roman" w:cs="Times New Roman"/>
          <w:b/>
          <w:position w:val="-1"/>
          <w:sz w:val="28"/>
        </w:rPr>
        <w:lastRenderedPageBreak/>
        <w:t>II. Текстовая (аналитическая) часть доклада</w:t>
      </w:r>
    </w:p>
    <w:p w:rsidR="00CF3BC2" w:rsidRDefault="00CF3BC2">
      <w:pPr>
        <w:spacing w:after="0"/>
        <w:ind w:hanging="1"/>
        <w:jc w:val="center"/>
      </w:pPr>
    </w:p>
    <w:p w:rsidR="00CF3BC2" w:rsidRDefault="005F169B">
      <w:pPr>
        <w:spacing w:after="0"/>
        <w:ind w:hanging="1"/>
        <w:jc w:val="center"/>
      </w:pPr>
      <w:r>
        <w:rPr>
          <w:rFonts w:ascii="Times New Roman" w:eastAsia="Times New Roman" w:hAnsi="Times New Roman" w:cs="Times New Roman"/>
          <w:b/>
          <w:position w:val="-1"/>
          <w:sz w:val="28"/>
        </w:rPr>
        <w:t>1. Общие сведения о муниципальном образовании области</w:t>
      </w:r>
    </w:p>
    <w:p w:rsidR="00CF3BC2" w:rsidRDefault="00CF3BC2">
      <w:pPr>
        <w:spacing w:after="0"/>
        <w:ind w:hanging="1"/>
        <w:jc w:val="center"/>
      </w:pP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Чернянский район образован 30 июля 1928 года Постановлением ВЦИК и СНК РСФСР.</w:t>
      </w: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Муниципальное образование «Чернянский район» как территориальное звено местного самоуправления представляет собой часть тер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ритории Белгородской области и является ее самоуправляемой административно-территориальной единицей. Административный центр района – поселок Чернянка. </w:t>
      </w: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В соответствии с Законом Белгородской области «Об установлении границ муниципальных образований и наделе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нии их статусом городского, сельского поселения, городского округа, муниципального района»,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br/>
        <w:t xml:space="preserve">в муниципальном образовании «Чернянский район» образованы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br/>
        <w:t>1 городское поселение, в состав которого входит 1 городское и 2 сельских населенных пункта, и 15 сельских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поселений, которые объединяют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br/>
      </w:r>
      <w:r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</w:rPr>
        <w:t xml:space="preserve">57 сельских населенных пунктов (в том числе, 1 – без населения). </w:t>
      </w:r>
      <w:proofErr w:type="gramEnd"/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</w:rPr>
        <w:t>Численность населения по состоянию на 01.01.2025 г. составляет       28 624 человека (2% населения Белгородской области), или 98,7%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</w:rPr>
        <w:br/>
        <w:t>от численности на 01.01.20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</w:rPr>
        <w:t xml:space="preserve">24 года. </w:t>
      </w: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Плотность населения муниципального образования «Чернянский район» составляет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</w:rPr>
        <w:t xml:space="preserve"> 23,3 человека на 1 кв. км.</w:t>
      </w: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Чернянский район расположен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в северо-восточной части Белгородской области в пределах Среднерусской равнины. Территория района занимает 1 227,5 кв. км (4,5 % территории области). </w:t>
      </w: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На севере он граничит с </w:t>
      </w:r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Губкинским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Старооскольским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городскими округами, на западе – с </w:t>
      </w:r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Корочанским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мун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иципальным районом, на юге – с </w:t>
      </w:r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Новооскольским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городским округом, на востоке –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br/>
        <w:t xml:space="preserve">с </w:t>
      </w:r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Красненским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муниципальным районом Белгородской области.</w:t>
      </w:r>
    </w:p>
    <w:p w:rsidR="00CF3BC2" w:rsidRDefault="00CF3BC2">
      <w:pPr>
        <w:spacing w:after="0"/>
        <w:ind w:firstLine="720"/>
        <w:jc w:val="both"/>
      </w:pPr>
    </w:p>
    <w:p w:rsidR="00CF3BC2" w:rsidRDefault="00CF3BC2">
      <w:pPr>
        <w:spacing w:after="0"/>
        <w:ind w:hanging="1"/>
        <w:jc w:val="center"/>
      </w:pPr>
    </w:p>
    <w:p w:rsidR="00CF3BC2" w:rsidRDefault="005F169B">
      <w:pPr>
        <w:spacing w:after="0"/>
        <w:ind w:hanging="1"/>
        <w:jc w:val="center"/>
      </w:pPr>
      <w:r>
        <w:rPr>
          <w:rFonts w:ascii="Times New Roman" w:eastAsia="Times New Roman" w:hAnsi="Times New Roman" w:cs="Times New Roman"/>
          <w:b/>
          <w:position w:val="-1"/>
          <w:sz w:val="28"/>
        </w:rPr>
        <w:t xml:space="preserve">2. Информация о действующих нормативных правовых актах, регламентирующих проведение мониторинга и оценки достигнутых </w:t>
      </w:r>
      <w:r>
        <w:rPr>
          <w:rFonts w:ascii="Times New Roman" w:eastAsia="Times New Roman" w:hAnsi="Times New Roman" w:cs="Times New Roman"/>
          <w:b/>
          <w:position w:val="-1"/>
          <w:sz w:val="28"/>
        </w:rPr>
        <w:t>значений КПЭ управленческих команд ОМСУ</w:t>
      </w:r>
    </w:p>
    <w:p w:rsidR="00CF3BC2" w:rsidRDefault="00CF3BC2">
      <w:pPr>
        <w:spacing w:after="0"/>
        <w:ind w:hanging="1"/>
        <w:jc w:val="center"/>
      </w:pPr>
    </w:p>
    <w:p w:rsidR="00CF3BC2" w:rsidRDefault="005F169B">
      <w:pPr>
        <w:spacing w:after="0"/>
        <w:ind w:firstLine="720"/>
        <w:jc w:val="both"/>
      </w:pPr>
      <w:r>
        <w:rPr>
          <w:rFonts w:ascii="Times New Roman" w:eastAsia="Times New Roman" w:hAnsi="Times New Roman" w:cs="Times New Roman"/>
          <w:position w:val="-1"/>
          <w:sz w:val="28"/>
        </w:rPr>
        <w:t xml:space="preserve">Организационно-правовыми основаниями проведения на территории Белгородской области мониторинга и оценки ключевых </w:t>
      </w:r>
      <w:proofErr w:type="gramStart"/>
      <w:r>
        <w:rPr>
          <w:rFonts w:ascii="Times New Roman" w:eastAsia="Times New Roman" w:hAnsi="Times New Roman" w:cs="Times New Roman"/>
          <w:position w:val="-1"/>
          <w:sz w:val="28"/>
        </w:rPr>
        <w:t>показателей эффективности деятельности управленческих команд органов местного самоуправления</w:t>
      </w:r>
      <w:proofErr w:type="gramEnd"/>
      <w:r>
        <w:rPr>
          <w:rFonts w:ascii="Times New Roman" w:eastAsia="Times New Roman" w:hAnsi="Times New Roman" w:cs="Times New Roman"/>
          <w:position w:val="-1"/>
          <w:sz w:val="28"/>
        </w:rPr>
        <w:t xml:space="preserve"> муниципал</w:t>
      </w:r>
      <w:r>
        <w:rPr>
          <w:rFonts w:ascii="Times New Roman" w:eastAsia="Times New Roman" w:hAnsi="Times New Roman" w:cs="Times New Roman"/>
          <w:position w:val="-1"/>
          <w:sz w:val="28"/>
        </w:rPr>
        <w:t>ьных, городских округов и муниципальных районов Белгородской области (далее соответственно – мониторинг, КПЭ, ОМСУ) являются следующие региональные нормативные правовые акты, а также муниципальные распорядительные акты:</w:t>
      </w:r>
    </w:p>
    <w:p w:rsidR="00CF3BC2" w:rsidRDefault="005F169B">
      <w:pPr>
        <w:spacing w:after="0"/>
        <w:ind w:firstLine="720"/>
        <w:jc w:val="both"/>
      </w:pPr>
      <w:r>
        <w:rPr>
          <w:rFonts w:ascii="Times New Roman" w:eastAsia="Times New Roman" w:hAnsi="Times New Roman" w:cs="Times New Roman"/>
          <w:position w:val="-1"/>
          <w:sz w:val="28"/>
        </w:rPr>
        <w:t>- постановление Губернатора Белгород</w:t>
      </w:r>
      <w:r>
        <w:rPr>
          <w:rFonts w:ascii="Times New Roman" w:eastAsia="Times New Roman" w:hAnsi="Times New Roman" w:cs="Times New Roman"/>
          <w:position w:val="-1"/>
          <w:sz w:val="28"/>
        </w:rPr>
        <w:t xml:space="preserve">ской области от 29 августа 2024 года № 130 «О мониторинге и оценке достигнутых </w:t>
      </w:r>
      <w:proofErr w:type="gramStart"/>
      <w:r>
        <w:rPr>
          <w:rFonts w:ascii="Times New Roman" w:eastAsia="Times New Roman" w:hAnsi="Times New Roman" w:cs="Times New Roman"/>
          <w:position w:val="-1"/>
          <w:sz w:val="28"/>
        </w:rPr>
        <w:t xml:space="preserve">значений </w:t>
      </w:r>
      <w:r>
        <w:rPr>
          <w:rFonts w:ascii="Times New Roman" w:eastAsia="Times New Roman" w:hAnsi="Times New Roman" w:cs="Times New Roman"/>
          <w:position w:val="-1"/>
          <w:sz w:val="28"/>
        </w:rPr>
        <w:lastRenderedPageBreak/>
        <w:t>ключевых показателей эффективности деятельности управленческих команд органов местного самоуправления</w:t>
      </w:r>
      <w:proofErr w:type="gramEnd"/>
      <w:r>
        <w:rPr>
          <w:rFonts w:ascii="Times New Roman" w:eastAsia="Times New Roman" w:hAnsi="Times New Roman" w:cs="Times New Roman"/>
          <w:position w:val="-1"/>
          <w:sz w:val="28"/>
        </w:rPr>
        <w:t xml:space="preserve"> муниципальных, городских округов и муниципальных районов Белгородс</w:t>
      </w:r>
      <w:r>
        <w:rPr>
          <w:rFonts w:ascii="Times New Roman" w:eastAsia="Times New Roman" w:hAnsi="Times New Roman" w:cs="Times New Roman"/>
          <w:position w:val="-1"/>
          <w:sz w:val="28"/>
        </w:rPr>
        <w:t>кой области»;</w:t>
      </w:r>
    </w:p>
    <w:p w:rsidR="00CF3BC2" w:rsidRDefault="005F169B">
      <w:pPr>
        <w:spacing w:after="0"/>
        <w:ind w:firstLine="720"/>
        <w:jc w:val="both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position w:val="-1"/>
          <w:sz w:val="28"/>
        </w:rPr>
        <w:t xml:space="preserve">- постановление Губернатора Белгородской области от 11 марта 2014 года № 19 «Об организации и проведении опросов населения в муниципальных, городских округах и муниципальных районах Белгородской области по оценке </w:t>
      </w:r>
      <w:proofErr w:type="gramStart"/>
      <w:r>
        <w:rPr>
          <w:rFonts w:ascii="Times New Roman" w:eastAsia="Times New Roman" w:hAnsi="Times New Roman" w:cs="Times New Roman"/>
          <w:position w:val="-1"/>
          <w:sz w:val="28"/>
        </w:rPr>
        <w:t>эффективности деятельности ру</w:t>
      </w:r>
      <w:r>
        <w:rPr>
          <w:rFonts w:ascii="Times New Roman" w:eastAsia="Times New Roman" w:hAnsi="Times New Roman" w:cs="Times New Roman"/>
          <w:position w:val="-1"/>
          <w:sz w:val="28"/>
        </w:rPr>
        <w:t>ководителей органов местного самоуправления</w:t>
      </w:r>
      <w:proofErr w:type="gramEnd"/>
      <w:r>
        <w:rPr>
          <w:rFonts w:ascii="Times New Roman" w:eastAsia="Times New Roman" w:hAnsi="Times New Roman" w:cs="Times New Roman"/>
          <w:position w:val="-1"/>
          <w:sz w:val="28"/>
        </w:rPr>
        <w:t xml:space="preserve"> и организаций с применением информационно-телекоммуникационных сетей и информационных технологий»;</w:t>
      </w:r>
    </w:p>
    <w:p w:rsidR="00CF3BC2" w:rsidRDefault="005F169B">
      <w:pPr>
        <w:pStyle w:val="a3"/>
        <w:numPr>
          <w:ilvl w:val="0"/>
          <w:numId w:val="1"/>
        </w:numPr>
        <w:spacing w:after="0"/>
        <w:ind w:left="0" w:firstLine="709"/>
        <w:jc w:val="both"/>
      </w:pPr>
      <w:r>
        <w:rPr>
          <w:rFonts w:ascii="Times New Roman" w:eastAsia="Times New Roman" w:hAnsi="Times New Roman" w:cs="Times New Roman"/>
          <w:position w:val="-1"/>
          <w:sz w:val="28"/>
        </w:rPr>
        <w:t xml:space="preserve">распоряжение администрации муниципального района «Чернянский район» Белгородской области от 14 февраля 2025 года </w:t>
      </w:r>
      <w:r>
        <w:rPr>
          <w:rFonts w:ascii="Times New Roman" w:eastAsia="Times New Roman" w:hAnsi="Times New Roman" w:cs="Times New Roman"/>
          <w:position w:val="-1"/>
          <w:sz w:val="28"/>
        </w:rPr>
        <w:t xml:space="preserve">№ 104-р «О подготовке и представлении данных о достигнутых значениях ключевых </w:t>
      </w:r>
      <w:proofErr w:type="gramStart"/>
      <w:r>
        <w:rPr>
          <w:rFonts w:ascii="Times New Roman" w:eastAsia="Times New Roman" w:hAnsi="Times New Roman" w:cs="Times New Roman"/>
          <w:position w:val="-1"/>
          <w:sz w:val="28"/>
        </w:rPr>
        <w:t>показателей эффективности деятельности управленческой команды администрации муниципального</w:t>
      </w:r>
      <w:proofErr w:type="gramEnd"/>
      <w:r>
        <w:rPr>
          <w:rFonts w:ascii="Times New Roman" w:eastAsia="Times New Roman" w:hAnsi="Times New Roman" w:cs="Times New Roman"/>
          <w:position w:val="-1"/>
          <w:sz w:val="28"/>
        </w:rPr>
        <w:t xml:space="preserve"> района «Чернянский район» Белгородской области.</w:t>
      </w:r>
    </w:p>
    <w:p w:rsidR="00CF3BC2" w:rsidRDefault="005F169B">
      <w:pPr>
        <w:spacing w:after="0"/>
        <w:ind w:firstLine="720"/>
        <w:jc w:val="both"/>
      </w:pPr>
      <w:r>
        <w:rPr>
          <w:rFonts w:ascii="Times New Roman" w:eastAsia="Times New Roman" w:hAnsi="Times New Roman" w:cs="Times New Roman"/>
          <w:position w:val="-1"/>
          <w:sz w:val="28"/>
        </w:rPr>
        <w:t>Указанные нормативные правовые акты опр</w:t>
      </w:r>
      <w:r>
        <w:rPr>
          <w:rFonts w:ascii="Times New Roman" w:eastAsia="Times New Roman" w:hAnsi="Times New Roman" w:cs="Times New Roman"/>
          <w:position w:val="-1"/>
          <w:sz w:val="28"/>
        </w:rPr>
        <w:t xml:space="preserve">еделяют: </w:t>
      </w:r>
    </w:p>
    <w:p w:rsidR="00CF3BC2" w:rsidRDefault="005F169B">
      <w:pPr>
        <w:spacing w:after="0"/>
        <w:ind w:firstLine="720"/>
        <w:jc w:val="both"/>
      </w:pPr>
      <w:r>
        <w:rPr>
          <w:rFonts w:ascii="Times New Roman" w:eastAsia="Times New Roman" w:hAnsi="Times New Roman" w:cs="Times New Roman"/>
          <w:position w:val="-1"/>
          <w:sz w:val="28"/>
        </w:rPr>
        <w:t xml:space="preserve">- перечень и методики расчётов показателей КПЭ ОМСУ; </w:t>
      </w:r>
    </w:p>
    <w:p w:rsidR="00CF3BC2" w:rsidRDefault="005F169B">
      <w:pPr>
        <w:spacing w:after="0"/>
        <w:ind w:firstLine="720"/>
        <w:jc w:val="both"/>
      </w:pPr>
      <w:r>
        <w:rPr>
          <w:rFonts w:ascii="Times New Roman" w:eastAsia="Times New Roman" w:hAnsi="Times New Roman" w:cs="Times New Roman"/>
          <w:position w:val="-1"/>
          <w:sz w:val="28"/>
        </w:rPr>
        <w:t>- регламент проведения мониторинга, порядок взаимодействия участников мониторинга – профильных министерств и управлений Белгородской области, ОМСУ;</w:t>
      </w:r>
    </w:p>
    <w:p w:rsidR="00CF3BC2" w:rsidRDefault="005F169B">
      <w:pPr>
        <w:spacing w:after="0"/>
        <w:ind w:firstLine="720"/>
        <w:jc w:val="both"/>
      </w:pPr>
      <w:r>
        <w:rPr>
          <w:rFonts w:ascii="Times New Roman" w:eastAsia="Times New Roman" w:hAnsi="Times New Roman" w:cs="Times New Roman"/>
          <w:position w:val="-1"/>
          <w:sz w:val="28"/>
        </w:rPr>
        <w:t xml:space="preserve">- методику комплексной оценки эффективности </w:t>
      </w:r>
      <w:r>
        <w:rPr>
          <w:rFonts w:ascii="Times New Roman" w:eastAsia="Times New Roman" w:hAnsi="Times New Roman" w:cs="Times New Roman"/>
          <w:position w:val="-1"/>
          <w:sz w:val="28"/>
        </w:rPr>
        <w:t xml:space="preserve">деятельности ОМСУ; </w:t>
      </w:r>
    </w:p>
    <w:p w:rsidR="00CF3BC2" w:rsidRDefault="005F169B">
      <w:pPr>
        <w:spacing w:after="0"/>
        <w:ind w:firstLine="720"/>
        <w:jc w:val="both"/>
      </w:pPr>
      <w:r>
        <w:rPr>
          <w:rFonts w:ascii="Times New Roman" w:eastAsia="Times New Roman" w:hAnsi="Times New Roman" w:cs="Times New Roman"/>
          <w:position w:val="-1"/>
          <w:sz w:val="28"/>
        </w:rPr>
        <w:t>- порядок награждения ОМСУ, достигших наилучших значений КПЭ;</w:t>
      </w:r>
    </w:p>
    <w:p w:rsidR="00CF3BC2" w:rsidRDefault="005F169B">
      <w:pPr>
        <w:spacing w:after="0"/>
        <w:ind w:firstLine="720"/>
        <w:jc w:val="both"/>
      </w:pPr>
      <w:r>
        <w:rPr>
          <w:rFonts w:ascii="Times New Roman" w:eastAsia="Times New Roman" w:hAnsi="Times New Roman" w:cs="Times New Roman"/>
          <w:position w:val="-1"/>
          <w:sz w:val="28"/>
        </w:rPr>
        <w:t>- правила распределения и предоставления дотаций (грантов) победителям по итогам комплексной оценки за отчётный год, общий размер премиального фонда;</w:t>
      </w:r>
    </w:p>
    <w:p w:rsidR="00CF3BC2" w:rsidRDefault="005F169B">
      <w:pPr>
        <w:spacing w:after="0"/>
        <w:ind w:firstLine="720"/>
        <w:jc w:val="both"/>
      </w:pPr>
      <w:r>
        <w:rPr>
          <w:rFonts w:ascii="Times New Roman" w:eastAsia="Times New Roman" w:hAnsi="Times New Roman" w:cs="Times New Roman"/>
          <w:position w:val="-1"/>
          <w:sz w:val="28"/>
        </w:rPr>
        <w:t>- порядок организации и проведения опросов населения в муниципальных районах и городских округах Белгородской области по оценке эффективности деятельности руководителей ОМСУ и организаций с применением IT-технологий на сайте ocenka.belregion.ru, а также пр</w:t>
      </w:r>
      <w:r>
        <w:rPr>
          <w:rFonts w:ascii="Times New Roman" w:eastAsia="Times New Roman" w:hAnsi="Times New Roman" w:cs="Times New Roman"/>
          <w:position w:val="-1"/>
          <w:sz w:val="28"/>
        </w:rPr>
        <w:t>именения результатов опросов.</w:t>
      </w:r>
    </w:p>
    <w:p w:rsidR="00CF3BC2" w:rsidRDefault="005F169B">
      <w:pPr>
        <w:spacing w:after="0"/>
        <w:ind w:firstLine="720"/>
        <w:jc w:val="both"/>
      </w:pPr>
      <w:r>
        <w:rPr>
          <w:rFonts w:ascii="Times New Roman" w:eastAsia="Times New Roman" w:hAnsi="Times New Roman" w:cs="Times New Roman"/>
          <w:position w:val="-1"/>
          <w:sz w:val="28"/>
        </w:rPr>
        <w:t>Координатором и уполномоченным органом по организации проведения мониторинга в регионе является министерство цифрового развития Белгородской области.</w:t>
      </w:r>
    </w:p>
    <w:p w:rsidR="00CF3BC2" w:rsidRDefault="005F169B">
      <w:pPr>
        <w:spacing w:after="0"/>
        <w:ind w:firstLine="720"/>
        <w:jc w:val="both"/>
      </w:pPr>
      <w:r>
        <w:rPr>
          <w:rFonts w:ascii="Times New Roman" w:eastAsia="Times New Roman" w:hAnsi="Times New Roman" w:cs="Times New Roman"/>
          <w:position w:val="-1"/>
          <w:sz w:val="28"/>
        </w:rPr>
        <w:t>В качестве исходных данных для проведения мониторинга используется информаци</w:t>
      </w:r>
      <w:r>
        <w:rPr>
          <w:rFonts w:ascii="Times New Roman" w:eastAsia="Times New Roman" w:hAnsi="Times New Roman" w:cs="Times New Roman"/>
          <w:position w:val="-1"/>
          <w:sz w:val="28"/>
        </w:rPr>
        <w:t xml:space="preserve">я ОМСУ (муниципальные статистические сведения), Территориального органа Федеральной службы государственной статистики по Белгородской области, исполнительных органов Белгородской области (уточненные значения показателей </w:t>
      </w:r>
      <w:r>
        <w:rPr>
          <w:rFonts w:ascii="Times New Roman" w:eastAsia="Times New Roman" w:hAnsi="Times New Roman" w:cs="Times New Roman"/>
          <w:position w:val="-1"/>
          <w:sz w:val="28"/>
        </w:rPr>
        <w:lastRenderedPageBreak/>
        <w:t>эффективности деятельности ОМСУ с уч</w:t>
      </w:r>
      <w:r>
        <w:rPr>
          <w:rFonts w:ascii="Times New Roman" w:eastAsia="Times New Roman" w:hAnsi="Times New Roman" w:cs="Times New Roman"/>
          <w:position w:val="-1"/>
          <w:sz w:val="28"/>
        </w:rPr>
        <w:t>ётом сведений ведомственных статистик).</w:t>
      </w:r>
    </w:p>
    <w:p w:rsidR="00CF3BC2" w:rsidRDefault="005F169B">
      <w:pPr>
        <w:spacing w:after="0"/>
        <w:ind w:firstLine="720"/>
        <w:jc w:val="both"/>
      </w:pPr>
      <w:r>
        <w:rPr>
          <w:rFonts w:ascii="Times New Roman" w:eastAsia="Times New Roman" w:hAnsi="Times New Roman" w:cs="Times New Roman"/>
          <w:position w:val="-1"/>
          <w:sz w:val="28"/>
        </w:rPr>
        <w:t>В отчётном году мониторинг и оценка КПЭ управленческих команд ОМСУ проводилась в разрезе 53-х КПЭ.</w:t>
      </w:r>
    </w:p>
    <w:p w:rsidR="00CF3BC2" w:rsidRDefault="005F169B">
      <w:pPr>
        <w:spacing w:after="0"/>
        <w:ind w:firstLine="720"/>
        <w:jc w:val="both"/>
      </w:pPr>
      <w:r>
        <w:rPr>
          <w:rFonts w:ascii="Times New Roman" w:eastAsia="Times New Roman" w:hAnsi="Times New Roman" w:cs="Times New Roman"/>
          <w:position w:val="-1"/>
          <w:sz w:val="28"/>
        </w:rPr>
        <w:t xml:space="preserve">В перечень </w:t>
      </w:r>
      <w:proofErr w:type="gramStart"/>
      <w:r>
        <w:rPr>
          <w:rFonts w:ascii="Times New Roman" w:eastAsia="Times New Roman" w:hAnsi="Times New Roman" w:cs="Times New Roman"/>
          <w:position w:val="-1"/>
          <w:sz w:val="28"/>
        </w:rPr>
        <w:t>оцениваемых</w:t>
      </w:r>
      <w:proofErr w:type="gramEnd"/>
      <w:r>
        <w:rPr>
          <w:rFonts w:ascii="Times New Roman" w:eastAsia="Times New Roman" w:hAnsi="Times New Roman" w:cs="Times New Roman"/>
          <w:position w:val="-1"/>
          <w:sz w:val="28"/>
        </w:rPr>
        <w:t xml:space="preserve"> КПЭ включены:</w:t>
      </w:r>
    </w:p>
    <w:p w:rsidR="00CF3BC2" w:rsidRDefault="005F169B">
      <w:pPr>
        <w:spacing w:after="0"/>
        <w:ind w:firstLine="720"/>
        <w:jc w:val="both"/>
      </w:pPr>
      <w:proofErr w:type="gramStart"/>
      <w:r>
        <w:rPr>
          <w:rFonts w:ascii="Times New Roman" w:eastAsia="Times New Roman" w:hAnsi="Times New Roman" w:cs="Times New Roman"/>
          <w:position w:val="-1"/>
          <w:sz w:val="28"/>
        </w:rPr>
        <w:t>- региональные отраслевые КПЭ, отражающие эффективность работы управленческих ко</w:t>
      </w:r>
      <w:r>
        <w:rPr>
          <w:rFonts w:ascii="Times New Roman" w:eastAsia="Times New Roman" w:hAnsi="Times New Roman" w:cs="Times New Roman"/>
          <w:position w:val="-1"/>
          <w:sz w:val="28"/>
        </w:rPr>
        <w:t>манд ОМСУ по направлениям «Уровень доверия к власти», Уровень вовлечения населения на военную службу по контракту, «Уровень экономического развития», «Уровень социального обеспечения», «Обеспечение мероприятий по сокращению смертности и травматизма в резул</w:t>
      </w:r>
      <w:r>
        <w:rPr>
          <w:rFonts w:ascii="Times New Roman" w:eastAsia="Times New Roman" w:hAnsi="Times New Roman" w:cs="Times New Roman"/>
          <w:position w:val="-1"/>
          <w:sz w:val="28"/>
        </w:rPr>
        <w:t>ьтате дорожно-транспортных происшествий», «Уровень качества жизни населения», степень внедрения методов и принципов управления, обеспечивающих переход к более результативным моделям муниципального управления, направленных на</w:t>
      </w:r>
      <w:proofErr w:type="gramEnd"/>
      <w:r>
        <w:rPr>
          <w:rFonts w:ascii="Times New Roman" w:eastAsia="Times New Roman" w:hAnsi="Times New Roman" w:cs="Times New Roman"/>
          <w:position w:val="-1"/>
          <w:sz w:val="28"/>
        </w:rPr>
        <w:t xml:space="preserve"> реализацию национальных целей и</w:t>
      </w:r>
      <w:r>
        <w:rPr>
          <w:rFonts w:ascii="Times New Roman" w:eastAsia="Times New Roman" w:hAnsi="Times New Roman" w:cs="Times New Roman"/>
          <w:position w:val="-1"/>
          <w:sz w:val="28"/>
        </w:rPr>
        <w:t xml:space="preserve"> стратегических задач развития Российской Федерации, достижение поставленных целей развития Белгородской области, комплексное развитие муниципальных образований Белгородской области;</w:t>
      </w:r>
    </w:p>
    <w:p w:rsidR="00CF3BC2" w:rsidRDefault="005F169B">
      <w:pPr>
        <w:spacing w:after="0"/>
        <w:ind w:firstLine="720"/>
        <w:jc w:val="both"/>
      </w:pPr>
      <w:r>
        <w:rPr>
          <w:rFonts w:ascii="Times New Roman" w:eastAsia="Times New Roman" w:hAnsi="Times New Roman" w:cs="Times New Roman"/>
          <w:position w:val="-1"/>
          <w:sz w:val="28"/>
        </w:rPr>
        <w:t>- региональные общие КПЭ, которые отражают основные характеристики деятел</w:t>
      </w:r>
      <w:r>
        <w:rPr>
          <w:rFonts w:ascii="Times New Roman" w:eastAsia="Times New Roman" w:hAnsi="Times New Roman" w:cs="Times New Roman"/>
          <w:position w:val="-1"/>
          <w:sz w:val="28"/>
        </w:rPr>
        <w:t xml:space="preserve">ьности ОМСУ без учета отраслевой направленности (по направлениям: </w:t>
      </w:r>
      <w:proofErr w:type="spellStart"/>
      <w:r>
        <w:rPr>
          <w:rFonts w:ascii="Times New Roman" w:eastAsia="Times New Roman" w:hAnsi="Times New Roman" w:cs="Times New Roman"/>
          <w:position w:val="-1"/>
          <w:sz w:val="28"/>
        </w:rPr>
        <w:t>цифровизация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</w:rPr>
        <w:t xml:space="preserve"> и цифровые проекты; применение технологий и механизмов ускоренной обработки информации</w:t>
      </w:r>
      <w:r>
        <w:rPr>
          <w:position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</w:rPr>
        <w:t>(обращений и сообщений, поступивших в ОМСУ) в целях своевременной обратной связи с жителям</w:t>
      </w:r>
      <w:r>
        <w:rPr>
          <w:rFonts w:ascii="Times New Roman" w:eastAsia="Times New Roman" w:hAnsi="Times New Roman" w:cs="Times New Roman"/>
          <w:position w:val="-1"/>
          <w:sz w:val="28"/>
        </w:rPr>
        <w:t>и территорий; налоговый потенциал; проектное и бережливое управление; проведение опросов населения с применением IT-технологий по оценке эффективности деятельности руководителей ОМСУ и организаций.</w:t>
      </w: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spacing w:after="0"/>
        <w:ind w:hanging="1"/>
        <w:jc w:val="center"/>
      </w:pPr>
      <w:r>
        <w:rPr>
          <w:rFonts w:ascii="Times New Roman" w:eastAsia="Times New Roman" w:hAnsi="Times New Roman" w:cs="Times New Roman"/>
          <w:b/>
          <w:position w:val="-1"/>
          <w:sz w:val="28"/>
        </w:rPr>
        <w:t>3. Анализ эффективности реализации</w:t>
      </w:r>
    </w:p>
    <w:p w:rsidR="00CF3BC2" w:rsidRDefault="005F169B">
      <w:pPr>
        <w:spacing w:after="0"/>
        <w:ind w:hanging="1"/>
        <w:jc w:val="center"/>
      </w:pPr>
      <w:r>
        <w:rPr>
          <w:rFonts w:ascii="Times New Roman" w:eastAsia="Times New Roman" w:hAnsi="Times New Roman" w:cs="Times New Roman"/>
          <w:b/>
          <w:position w:val="-1"/>
          <w:sz w:val="28"/>
        </w:rPr>
        <w:t xml:space="preserve">КПЭ управленческой команды ОМСУ за отчетный год </w:t>
      </w:r>
    </w:p>
    <w:p w:rsidR="00CF3BC2" w:rsidRDefault="00CF3BC2">
      <w:pPr>
        <w:spacing w:after="0"/>
        <w:ind w:hanging="1"/>
        <w:jc w:val="center"/>
      </w:pPr>
    </w:p>
    <w:p w:rsidR="00CF3BC2" w:rsidRDefault="005F169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t>КПЭ 1. «Уровень доверия к власти»</w:t>
      </w:r>
    </w:p>
    <w:p w:rsidR="00CF3BC2" w:rsidRDefault="00CF3BC2">
      <w:pPr>
        <w:spacing w:after="0"/>
        <w:ind w:hanging="1"/>
        <w:jc w:val="center"/>
      </w:pP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Значение показателя за 2024 год составило 1,05 единицы, что выше целевого значения на 0,05 единиц и на уровне значения предшествующего года.</w:t>
      </w: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Данные приведены на основании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результатов социологического исследования, проводимых АНО «Консалтинговое агентство социального мониторинга и массовых коммуникаций» в рамках реализации государственной программы Белгородской области «Обеспечение населения Белгородской области информацией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о приоритетных направлениях региональной политики», утвержденной постановлением Правительства Белгородской области от 16 декабря 2013 года № 511-пп.</w:t>
      </w:r>
      <w:proofErr w:type="gramEnd"/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lastRenderedPageBreak/>
        <w:t xml:space="preserve">В отчётном году общественно-политическая ситуация на территории района оставалась стабильной. </w:t>
      </w: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</w:rPr>
        <w:t>В районе раз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</w:rPr>
        <w:t xml:space="preserve">вивается общественное самоуправление. В целях создания благоприятных условий для реализации общественного самоуправления и развития социальной активности граждан Чернянского района реализуется муниципальная программа «Развитие общественного самоуправления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</w:rPr>
        <w:t>на территории муниципального района «Чернянский район» Белгородской области.</w:t>
      </w: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</w:rPr>
        <w:t xml:space="preserve">На сегодняшний день общественное самоуправление района представлено всеми возможными формами: это и </w:t>
      </w:r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</w:rPr>
        <w:t>ТОСы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</w:rPr>
        <w:t>, и уличные комитеты, старосты сельских населенных пунктов, Советы дома МКД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</w:rPr>
        <w:t xml:space="preserve">Более 14,6 тысяч жителей района старше 18 лет охвачены деятельностью общественного самоуправления. </w:t>
      </w:r>
      <w:proofErr w:type="gramEnd"/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 xml:space="preserve">Такие формы работы, как развитие прямого диалога власти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br/>
        <w:t>с гражданами и общественное самоуправление, показали свою эффективность. Поэтому деятельность в э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>том направлении будет продолжена в 2025 году.</w:t>
      </w: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FFFFFF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в администрацию Чернянского района поступило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417 обращений граждан, что на 16,6% меньше чем в 2023 году. </w:t>
      </w: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FFFFFF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обращения граждан были рассмотрены, вопросы решены или их реализация взята под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заявителям даны ответы. </w:t>
      </w: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FFFFFF" w:fill="FFFFFF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оперативного реагирования на возникающие у граждан острые социальные, бытовые, экономические, правовые проблемы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2024 году организовано и проведено 52 встречи главы администрации с населением, 46 личный прием граждан гл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авой администрации района,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 из которых – личные выездные приемы в сельские поселения. </w:t>
      </w:r>
    </w:p>
    <w:p w:rsidR="00CF3BC2" w:rsidRDefault="00CF3B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FFFFFF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BC2" w:rsidRDefault="005F169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t>КПЭ 2. «Уровень вовлечения населения на военную службу по контракту»</w:t>
      </w:r>
    </w:p>
    <w:p w:rsidR="00CF3BC2" w:rsidRDefault="00CF3B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FFFFFF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FFFFFF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показателя осуществляется с 2024 года. Целевой показатель выполнен в полном объеме (план - 88 чел., факт - 89 чел.).</w:t>
      </w:r>
    </w:p>
    <w:p w:rsidR="00CF3BC2" w:rsidRDefault="00CF3B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FFFFFF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BC2" w:rsidRDefault="005F169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t>КПЭ 3. «Уровень экономического развития»</w:t>
      </w:r>
    </w:p>
    <w:p w:rsidR="00CF3BC2" w:rsidRDefault="00CF3B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FFFFFF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В 2024 году усилия администрации района в были направлены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br/>
        <w:t>на обеспечение устойчивого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экономического развития района, эффективной работы действующих предприятий, развитие реального сектора экономики, обеспечение устойчивых темпов экономического роста, эффективной занятости населения, укрепления налоговой базы для решения социальных проблем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, развития малого и среднего бизнеса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br/>
        <w:t xml:space="preserve">и инфраструктуры района. </w:t>
      </w:r>
      <w:proofErr w:type="gramEnd"/>
    </w:p>
    <w:p w:rsidR="00CF3BC2" w:rsidRDefault="005F169B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 xml:space="preserve">Общий объем отгруженных товаров собственного производства, выполненных работ и услуг по всем видам деятельности за 2024 год увеличился по сравнению с соответствующим периодом прошлого года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br/>
      </w:r>
      <w:r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 xml:space="preserve">на 7,9% и составил </w:t>
      </w:r>
      <w:r>
        <w:rPr>
          <w:color w:val="000000" w:themeColor="text1"/>
          <w:sz w:val="28"/>
          <w:szCs w:val="28"/>
          <w:highlight w:val="white"/>
        </w:rPr>
        <w:t xml:space="preserve">16,9 </w:t>
      </w:r>
      <w:proofErr w:type="gramStart"/>
      <w:r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>млрд</w:t>
      </w:r>
      <w:proofErr w:type="gramEnd"/>
      <w:r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 xml:space="preserve"> рублей, а также по обрабатывающим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lastRenderedPageBreak/>
        <w:t xml:space="preserve">производствам в сравнении к 2023 году этот показатель вырос на 20%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br/>
        <w:t>и составил 12,5 млрд рублей.</w:t>
      </w:r>
    </w:p>
    <w:p w:rsidR="00CF3BC2" w:rsidRDefault="005F169B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Основой экономики Чернянского района является сельское хозяйство. </w:t>
      </w:r>
    </w:p>
    <w:p w:rsidR="00CF3BC2" w:rsidRDefault="005F169B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Согласно данным Росстата, пло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щадь пашни в обработке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br/>
        <w:t>по Чернянскому району составляет 72,4 тыс. га.</w:t>
      </w:r>
    </w:p>
    <w:p w:rsidR="00CF3BC2" w:rsidRDefault="005F169B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По итогам 2024 года аграриями района намолочено 167,5 тыс. тонн зерна в зачетном весе при урожайности 54,8 ц/га.</w:t>
      </w:r>
    </w:p>
    <w:p w:rsidR="00CF3BC2" w:rsidRDefault="005F169B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Самые высокие показатели урожайности зерновых в текущем году получены ср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еди крупных СХП: в ООО «Агрофирма Горби-Инвест2 – 46,1 ц/га, ЗАО «</w:t>
      </w:r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Краснояружская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зерновая компания» - 44,5 ц/га,  ООО «Бородинское» - 43,8 ц/га. Среди КФХ и ИП высокие показатели у ИП Каверин А.В. - 59,4 ц/га, КФХ «</w:t>
      </w:r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Сукмановка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» - 58,9 ц/га, ИП </w:t>
      </w:r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Чепелев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С.В.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- 51,1 ц/га. В среднем ИП и КФХ получили 28,9 ц/га.</w:t>
      </w:r>
    </w:p>
    <w:p w:rsidR="00CF3BC2" w:rsidRDefault="005F169B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Хозяйствами, занимающимися производством картофеля и овощей убрано: 195 га картофеля  (100% плана), накопано 7,2 тыс. тонн, урожайность составила 370,5 ц/га; овощей: убрано 932,8 га (100%), собрано 12,9 т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ыс. тонн, урожайность 138,2 ц/га.</w:t>
      </w:r>
    </w:p>
    <w:p w:rsidR="00CF3BC2" w:rsidRDefault="005F169B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По состоянию на 31 декабря 2023 года поголовье крупного рогатого скота в сельскохозяйственных предприятиях Чернянского района составило 13 тысяч 837 голов и увеличилось в сравнении с прошлым годом на 1 208 голов. Средний п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оказатель надоя на 1 корову среди сельхозпредприятий по итогам истёкшего года – 9 066 кг. и увеличился в сравнении с прошлым годом </w:t>
      </w:r>
      <w:proofErr w:type="spellStart"/>
      <w:proofErr w:type="gram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годом</w:t>
      </w:r>
      <w:proofErr w:type="spellEnd"/>
      <w:proofErr w:type="gram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на 527 кг.</w:t>
      </w:r>
    </w:p>
    <w:p w:rsidR="00CF3BC2" w:rsidRDefault="005F169B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На территории Чернянского района успешно работают 544 малых формы хозяйствования</w:t>
      </w:r>
      <w:r>
        <w:rPr>
          <w:rFonts w:ascii="Times New Roman" w:hAnsi="Times New Roman" w:cs="Times New Roman"/>
          <w:sz w:val="28"/>
          <w:szCs w:val="28"/>
        </w:rPr>
        <w:t>, что соответствует уровню п</w:t>
      </w:r>
      <w:r>
        <w:rPr>
          <w:rFonts w:ascii="Times New Roman" w:hAnsi="Times New Roman" w:cs="Times New Roman"/>
          <w:sz w:val="28"/>
          <w:szCs w:val="28"/>
        </w:rPr>
        <w:t>рошлого года.</w:t>
      </w:r>
    </w:p>
    <w:p w:rsidR="00CF3BC2" w:rsidRDefault="005F169B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В 2024 году для развития сельскохозяйственного производства малыми формами хозяйствования привлечено</w:t>
      </w:r>
      <w:r>
        <w:rPr>
          <w:rFonts w:ascii="Times New Roman" w:hAnsi="Times New Roman" w:cs="Times New Roman"/>
          <w:sz w:val="28"/>
          <w:szCs w:val="28"/>
        </w:rPr>
        <w:t xml:space="preserve"> 73,2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млн</w:t>
      </w:r>
      <w:proofErr w:type="gram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рублей, источниками их получения являются гранты и собственные средства </w:t>
      </w:r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грантополучателей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.</w:t>
      </w: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Характеристика экономического состояния Ч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ернянского района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br/>
        <w:t>не была бы полной без важнейшей составляющей – малого и среднего предпринимательства.</w:t>
      </w: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По состоянию на 01 января 2025 года в районе действую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br/>
        <w:t>967 субъекта малого и среднего бизнес</w:t>
      </w:r>
      <w:proofErr w:type="gram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включая ИП), из них 95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малых предприятий (включая </w:t>
      </w:r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микропредприятия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), 3 средних предприятий, 869 индивидуальных предпринимателей.</w:t>
      </w: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В отчетном периоде объем производства продукции, работ, услуг малых и средних предприятий (включая </w:t>
      </w:r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микропредприятия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) достиг 10 968,2 </w:t>
      </w:r>
      <w:proofErr w:type="gram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млн</w:t>
      </w:r>
      <w:proofErr w:type="gram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рублей.</w:t>
      </w: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Обор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от оптовой торговли по организациям, не относящихся к субъектам МСП (включая средние предприятия) за 2024 год составил 2 893,1 </w:t>
      </w:r>
      <w:proofErr w:type="gram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млн</w:t>
      </w:r>
      <w:proofErr w:type="gram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руб., что выше 2023 года на 59%.</w:t>
      </w: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Оборот розничной торговли по организациям, не относящихся к субъектам МСП (включая средние п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редприятия) за 2024 год составил 2 676,9 </w:t>
      </w:r>
      <w:proofErr w:type="gram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млн</w:t>
      </w:r>
      <w:proofErr w:type="gram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руб., что выше 2023 года на 31,5%.</w:t>
      </w:r>
    </w:p>
    <w:p w:rsidR="00CF3BC2" w:rsidRDefault="005F169B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Оборот розничной торговли пищевыми продуктами, включая напитки и табачные изделия по организациям, не относящихся к субъектам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lastRenderedPageBreak/>
        <w:t>МСП (включая средние предприятия) за 2024 год сост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авил 1 709,9 </w:t>
      </w:r>
      <w:proofErr w:type="gram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млн</w:t>
      </w:r>
      <w:proofErr w:type="gram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рублей, что выше 2023 года на 29,8%.</w:t>
      </w:r>
    </w:p>
    <w:p w:rsidR="00CF3BC2" w:rsidRDefault="00CF3B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CF3BC2" w:rsidRDefault="005F169B">
      <w:pPr>
        <w:spacing w:after="0"/>
        <w:ind w:hanging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t xml:space="preserve">КПЭ 4.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Количество брошенных домовладений, в отношении которых ОМСУ проведены работы по повторному вовлечению в их оборот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t>»</w:t>
      </w:r>
    </w:p>
    <w:p w:rsidR="00CF3BC2" w:rsidRDefault="00CF3B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position w:val="-1"/>
        </w:rPr>
      </w:pP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Мониторинг показателя осуществляется с 2024 года. За отчетный год  проведены ряд мероприятий по выявлению правообладателей ранее учтенных объектов </w:t>
      </w:r>
      <w:proofErr w:type="gram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недвижимости</w:t>
      </w:r>
      <w:proofErr w:type="gram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в результате чего 55 домовладений приведены в надлежащее состояние.</w:t>
      </w:r>
    </w:p>
    <w:p w:rsidR="00CF3BC2" w:rsidRDefault="00CF3B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CF3BC2" w:rsidRDefault="005F169B">
      <w:pPr>
        <w:spacing w:after="0"/>
        <w:ind w:hanging="1"/>
        <w:jc w:val="center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t>КПЭ 5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t>. «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Содействие развитию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 конкуренции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t>»</w:t>
      </w:r>
    </w:p>
    <w:p w:rsidR="00CF3BC2" w:rsidRDefault="00CF3B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position w:val="-1"/>
        </w:rPr>
      </w:pP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Целевой </w:t>
      </w:r>
      <w:proofErr w:type="gram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показатель</w:t>
      </w:r>
      <w:proofErr w:type="gram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не достигнут в связи с тем, что в показателях дорожной карты развития конкуренции отсутствуют дополнительные товарные рынки (в текущем году в дорожную карту по развитию конкуренции добавлены дополнительные товарные рынки э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то рынок продукции пчеловодства и рынок производства кормов для продуктивных животных).</w:t>
      </w:r>
    </w:p>
    <w:p w:rsidR="00CF3BC2" w:rsidRDefault="00CF3B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t>КПЭ 6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«Среднемесячная номинальная начисленная заработная плата работников по организациям, не относящимся к субъектам малого предпринимательства»</w:t>
      </w:r>
    </w:p>
    <w:p w:rsidR="00CF3BC2" w:rsidRDefault="00CF3B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Целевой показатель выполнен. Рост показателя по сравнению с прошлым годом составил 16,2%. Этому способствовали проводимые мероприятия по мониторингу среднемесячной заработной платы, по недопущению неформальной занятости. Средняя заработная плата выросла по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всем отраслям экономики.</w:t>
      </w: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Среднесписочная численность работников за 2024 год по крупным и средним предприятиям составила 5 115 человека.</w:t>
      </w: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По основным видам экономической деятельности среднемесячная заработная плата за 2024 год по сравнению с 2023 годом расп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ределилась таким образом:</w:t>
      </w:r>
    </w:p>
    <w:p w:rsidR="00CF3BC2" w:rsidRDefault="005F169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сельское хозяйство - 82 603,7 руб. с ростом 21%;</w:t>
      </w:r>
    </w:p>
    <w:p w:rsidR="00CF3BC2" w:rsidRDefault="005F169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обрабатывающие производства - 64 698,3 с ростом 20,3%;</w:t>
      </w:r>
    </w:p>
    <w:p w:rsidR="00CF3BC2" w:rsidRDefault="005F169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торговля оптовая и розничная - 45 947,3 руб. с ростом 21,9%;</w:t>
      </w:r>
    </w:p>
    <w:p w:rsidR="00CF3BC2" w:rsidRDefault="005F169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транспортировка и хранение - 35 351,6 руб. с ростом 16,8%;</w:t>
      </w:r>
    </w:p>
    <w:p w:rsidR="00CF3BC2" w:rsidRDefault="005F169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деятел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ьность финансовая и страховая - 59 904,1 руб. с ростом 19,2%;</w:t>
      </w:r>
    </w:p>
    <w:p w:rsidR="00CF3BC2" w:rsidRDefault="005F169B">
      <w:pPr>
        <w:pStyle w:val="a3"/>
        <w:numPr>
          <w:ilvl w:val="0"/>
          <w:numId w:val="3"/>
        </w:numPr>
        <w:spacing w:after="0" w:line="240" w:lineRule="auto"/>
        <w:ind w:left="0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государственное управление и обеспечение военной безопасности; социальное обеспечение  - 58 167,2 руб. с ростом 14,2%;</w:t>
      </w:r>
    </w:p>
    <w:p w:rsidR="00CF3BC2" w:rsidRDefault="005F169B">
      <w:pPr>
        <w:pStyle w:val="a3"/>
        <w:numPr>
          <w:ilvl w:val="0"/>
          <w:numId w:val="3"/>
        </w:numPr>
        <w:spacing w:after="0" w:line="240" w:lineRule="auto"/>
        <w:ind w:left="0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образование - 42 113,9 руб. с ростом 12,6%;</w:t>
      </w:r>
    </w:p>
    <w:p w:rsidR="00CF3BC2" w:rsidRDefault="005F169B">
      <w:pPr>
        <w:pStyle w:val="a3"/>
        <w:numPr>
          <w:ilvl w:val="0"/>
          <w:numId w:val="3"/>
        </w:numPr>
        <w:spacing w:after="0" w:line="240" w:lineRule="auto"/>
        <w:ind w:left="0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деятельность в области здравоох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ранения и социальных услуг -                              44 998,5 руб. с ростом 8,7%;</w:t>
      </w:r>
    </w:p>
    <w:p w:rsidR="00CF3BC2" w:rsidRDefault="005F169B">
      <w:pPr>
        <w:pStyle w:val="a3"/>
        <w:numPr>
          <w:ilvl w:val="0"/>
          <w:numId w:val="3"/>
        </w:numPr>
        <w:spacing w:after="0" w:line="240" w:lineRule="auto"/>
        <w:ind w:left="0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lastRenderedPageBreak/>
        <w:t>деятельность в области культуры, спорта, организации досуга и развлечений -42 507,0 руб. с ростом 19,5%;</w:t>
      </w: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По состоянию на 01 января 2024 года на учете в центре занятости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было зарегистрировано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62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безработных граждан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ина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, уровень регистрируемой безработицы составлял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0,4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%, на 01 января 202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года зарегистрировано 70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безработны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граждан, уровень безработицы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0,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43%.</w:t>
      </w: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В отчетном периоде 2024 года работодателями заявлено 2 253 вака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нсии. Сведений об отпусках без сохранения заработной платы, о введении режима неполного рабочего дня (смены) и (или) неполной рабочей недели, банкротстве, об организации дистанционной (уделенной) работы от работодателей района не поступало. </w:t>
      </w:r>
    </w:p>
    <w:p w:rsidR="00CF3BC2" w:rsidRDefault="00CF3B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64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t>КПЭ 7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Объем инвестиций в основной капитал </w:t>
      </w: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(без субъектов малого предпринимательства и параметров неформальной деятельности)»</w:t>
      </w: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Целевой показатель выполнен на 125,2%, Увеличение объема инвестиций произошло за счет реализации проектов                             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          ООО «</w:t>
      </w:r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Русагро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-Белгород» филиал «Чернянский» - модернизация сахарных заводов </w:t>
      </w:r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Русагро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в Белгородской области для увеличения объемов производства и устройство системы активной вентиляции кагатов сахарной свеклы (система долгосрочного хранения свеклы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). Общий объем инвестиций за 2024 год составил 2172,5 </w:t>
      </w:r>
      <w:proofErr w:type="gram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млн</w:t>
      </w:r>
      <w:proofErr w:type="gram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рублей, что на 39,6 % выше соответствующего периода 2023 года в сопоставимых ценах. Источниками финансирования являются как собственные, так и привлеченные средства. Из общего объема инвестиции сред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ства были направлены на жилые здания и помещения, здания (кроме жилых) и сооружения, расходы на улучшение земель, а также на машины, оборудование, включая хозяйственный инвентарь, другие объекты и прочие инвестиции.</w:t>
      </w: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Администрацией активно реализуются меры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по созданию в районе благоприятного инвестиционного климата. Кроме этого, будет продолжена работа с АО «Корпорация «Развитие» по вовлечению в оборот депрессивных площадок, находящихся на территории района.</w:t>
      </w: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64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t>КПЭ 8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«Воспроизводство плодородия почв </w:t>
      </w: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64" w:lineRule="auto"/>
        <w:ind w:firstLine="720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за счет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применения органических удобрений»</w:t>
      </w:r>
    </w:p>
    <w:p w:rsidR="00CF3BC2" w:rsidRDefault="00CF3B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Целевое значение достигнуто и составило 100%.</w:t>
      </w: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Работы по внесению органических удобрений проведены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br/>
        <w:t>в соответствии с представленными в начале 2024 года план-графиками.</w:t>
      </w:r>
      <w:proofErr w:type="gramEnd"/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В районе проводится ряд мероприятий, которые позволят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сохранить значение показателя в плановом периоде.</w:t>
      </w: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1. Ежегодно утверждается план-график внесения органических удобрений, соблюдение которого строго контролируется.                    </w:t>
      </w: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2. Проводится работа по замещению применения дорогостоящих минеральных удобрений </w:t>
      </w:r>
      <w:proofErr w:type="gram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органические. </w:t>
      </w: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lastRenderedPageBreak/>
        <w:t>3. Ужесточаются меры в сфере экологии хранения и применения органических удобрений.</w:t>
      </w: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t>КПЭ 9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«Доля соответствующих нормативным требованиям автомоб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ильных дорог регионального значения и автомобильных дорог в городских агломерациях (для муниципальных образований области, участвующих в отчетном году в реализации федерального проекта "Дорожная сеть" национального проекта "Безопасные качественные дороги"»</w:t>
      </w:r>
      <w:proofErr w:type="gramEnd"/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В 2024 году Чернянский район не участвовал в реализации федерального проекта «Дорожная сеть» национального проекта «Безопасные и качественные автомобильные дороги».</w:t>
      </w: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spacing w:line="226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t>КПЭ 10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«Доля выданных в электронном виде градостроительных планов земельных участков 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земельный участок с видом разрешенного использования, предусматривающим размещение "модельного" объекта»</w:t>
      </w:r>
    </w:p>
    <w:p w:rsidR="00CF3BC2" w:rsidRDefault="00CF3B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Мониторинг осуществляется с 2024 года, рост показателя обусловлен тем, что  ГПЗУ на участки под модельные объекты не выдавались.</w:t>
      </w:r>
    </w:p>
    <w:p w:rsidR="00CF3BC2" w:rsidRDefault="00CF3BC2">
      <w:pPr>
        <w:spacing w:after="0"/>
        <w:ind w:firstLine="720"/>
        <w:jc w:val="both"/>
        <w:rPr>
          <w:sz w:val="28"/>
          <w:szCs w:val="28"/>
        </w:rPr>
      </w:pPr>
    </w:p>
    <w:p w:rsidR="00CF3BC2" w:rsidRDefault="005F169B">
      <w:pPr>
        <w:spacing w:line="22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КПЭ 11. «Доля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размещенных в государственной информационной системе обеспечения градостроительной деятельности Белгородской области (ГИСОГД) разрешений на строительство и ввод объектов в эксплуатацию, выданных с 2018 года по 31 декабря отчетного года»</w:t>
      </w:r>
    </w:p>
    <w:p w:rsidR="00CF3BC2" w:rsidRDefault="00CF3B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Мониторинг показа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теля осуществляется с 2024 года. Целевой показатель выполнен в полном объеме.</w:t>
      </w:r>
    </w:p>
    <w:p w:rsidR="00CF3BC2" w:rsidRDefault="00CF3BC2">
      <w:pPr>
        <w:spacing w:after="0"/>
        <w:ind w:firstLine="720"/>
        <w:jc w:val="both"/>
        <w:rPr>
          <w:sz w:val="28"/>
          <w:szCs w:val="28"/>
        </w:rPr>
      </w:pPr>
    </w:p>
    <w:p w:rsidR="00CF3BC2" w:rsidRDefault="005F169B">
      <w:pPr>
        <w:spacing w:line="22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КПЭ 12. «Качество подготовки генеральных планов муниципальных образований области в части отсутствия пересечений границ населенных пунктов с землями лесного фонда»</w:t>
      </w: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Показатель в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ыполнен на 100%. Все пересечения границ населенных пунктов с землями лесного фонда устранены.</w:t>
      </w: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Уровень социального обеспечения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t>»</w:t>
      </w: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Сферой особого внимания органов местного самоуправления Чернянского района было и остается осуществление комплекса мер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по защите трудовых и социальных прав граждан, защите материнства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br/>
        <w:t xml:space="preserve">и детства, инвалидов и ветеранов, малообеспеченных граждан и семей, повышению адресности социальной поддержки. </w:t>
      </w: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lastRenderedPageBreak/>
        <w:t>Администрацией района последовательно осуществляется комплекс мер по защите тру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довых и социальных прав граждан, усилению адресности, социальной поддержке нуждающихся граждан. </w:t>
      </w: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В результате целенаправленной работы в социальной сфере своевременно выплачиваются пенсии и детские пособия.</w:t>
      </w: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Предметом особой заботы была и остается защита мат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еринства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br/>
        <w:t>и детства, инвалидов и ветеранов, а также малообеспеченных граждан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br/>
        <w:t>и семей.</w:t>
      </w: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Отделение социальных услуг на дому гражданам пожилого возраста и инвалидам обслуживает 366 одиноких граждан 40 социальными работниками. За  2024 год оказано 184 868 гарант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ированных и 42 068 дополнительных социальных услуг.</w:t>
      </w: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За 2024 год оформлены документы 18 гражданам на присвоение звания «Ветеран труда», 1 удостоверение члена семей погибшего инвалида ЧАЭС, 4 статусных удостоверений ЧАЭС. 60 детей получили оздоровление в озд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оровительном лагере «Орбита». 3 человека из числа пенсионеров прошли лечение в Многопрофильном центре реабилитации г. Белгорода. 10 человек отправлено в Благотворительное общество «Милосердие и забота» г. Белгород.</w:t>
      </w:r>
      <w:proofErr w:type="gramEnd"/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Кроме того, за 2024 год получили пособия: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4 инвалида боевых действий и 5 членов семей военнослужащих, погибших при исполнении обязанностей военной службы на сумму 120,5 тыс. рублей.</w:t>
      </w: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Получили субсидии на оплату услуг связи 34 ветерана боевых действий и 5 многодетных семей на сумму 64,6 тыс. рублей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.</w:t>
      </w:r>
    </w:p>
    <w:p w:rsidR="00CF3BC2" w:rsidRDefault="005F169B">
      <w:pPr>
        <w:pBdr>
          <w:left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Ежемесячную денежную выплату «Дети войны» получили 1 199 человек, на сумму 16 929,9 тыс. рублей, 4 реабилитированных - на сумму 57,1 тыс. рублей, ветераны труда - 800 человек на сумму 11 563,1 тыс. рублей.</w:t>
      </w: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Проводилась работа по социальной защите инвалидо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в, ветеранов и пенсионеров. В полном объеме производятся все предусмотренные существующими законами компенсационные выплаты, а также реализуются все федеральные и областные законы. </w:t>
      </w: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Субсидии на коммунальные услуги получили 72 семьи на общую сумму 603 тыс.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рублей.</w:t>
      </w: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Ежемесячную денежную компенсацию на оплату жилого помещения и коммунальных услуг получили 4 706 человек на сумму 49 026,5 тыс. рублей. </w:t>
      </w: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За 2024 год получили ежемесячное детское пособие 1 280 человек на сумму 15 033,4 тыс. рублей, при рождении треть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его и последующих детей до достижения ребенком возраста трех лет - 82 человека на сумму 9 155,3 тыс. рублей, 81 человек получили региональный материнский капитал 3 252,4 тыс. рублей, 132 человека получили выплату на питание детям от 6 до 1,5 года на сумму</w:t>
      </w:r>
      <w:proofErr w:type="gram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428,9 тыс. рублей.</w:t>
      </w: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11 человек получил единовременную выплату при рождении пятого и последующих детей на сумму 550 тыс. рублей. Единовременную выплату при рождении 4 и последующих детей получили 24 человека на сумму                                  240 тыс.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рублей, ежемесячную выплату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lastRenderedPageBreak/>
        <w:t xml:space="preserve">одиноким матерям, вдовам (вдовцам), воспитывающим детей-инвалидов, получили 9 человек на сумму 850 тыс. рублей. Единовременную выплату в связи с юбилеем со дня регистрации заключения брака получили 36 человек на сумму 360 тыс.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рублей. Единовременную выплату при рождении ребенка мобилизованного гражданина или </w:t>
      </w:r>
      <w:proofErr w:type="gram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гражданина, заключившего контракт получили</w:t>
      </w:r>
      <w:proofErr w:type="gram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4 получателя на сумму 250 тыс. рублей. Ежемесячная выплата на питание ребенка мобилизованных граждан либо заключившего контракт –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156 человек на сумму 7 962 тыс. рублей. </w:t>
      </w: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Ежемесячную денежную выплату на детей, страдающих хроническими тяжелыми заболеваниями получил 1 человек на сумму 180 тыс. рублей, ежегодную денежную выплату к началу учебного года на детей СВО, обучающихся в образов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ательных организациях - 125 получателя на сумму 2 600 тыс. рублей, единовременная выплата на улучшение жилищных условий женщинам, родившим двойню или тройню - 3 человека на сумму 450 тыс. рублей, компенсация части стоимости</w:t>
      </w:r>
      <w:proofErr w:type="gram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обучениям детей из многодетных с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емей, обучающихся по очной форме на платной основе по образовательным программам среднего профессионального образования в образовательных организациях, осуществляющих образовательную деятельность на территории Белгородской области - 18 получателей на сумму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443,4 тыс. рублей.</w:t>
      </w: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Ежемесячную компенсацию частичной оплаты стоимости проезда и услуг связи, пострадавшим от обстрелов со стороны </w:t>
      </w:r>
      <w:proofErr w:type="gram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вооруженных формирований  Украины, проживающих на территории Белгородской области получили</w:t>
      </w:r>
      <w:proofErr w:type="gram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3 человека на сумму 36 тыс. рублей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.</w:t>
      </w: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Ежемесячную денежную выплату детям, пострадавшим от обстрелов со стороны вооруженных формирований Украины проживающих на территории Белгородской области получил 1 человек – 180,0 тыс. рублей.</w:t>
      </w: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Пособие на погребение получили 55 человек на сумму 304,2 тыс.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рублей. Единовременное пособие ветеранам боевых действий получили - 444 человек на сумму 4 560 тыс. рублей.</w:t>
      </w: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Ежемесячную денежную выплату на питание детей погибших военнослужащих  получили 7 человек в размере 3 тыс. рублей.</w:t>
      </w: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Управлением социальной защиты нас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еления администрации Чернянского района принято 7 заявлений для оказания единовременной материальной помощи в размере 10 тыс. рублей лицам, прибывших на территорию Российской Федерации с Донецкой с Луганской Народных республик и Украины.</w:t>
      </w:r>
      <w:proofErr w:type="gramEnd"/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Производилась выплата опекунам, приемным родителям, усыновителям.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ab/>
        <w:t>Выплаты получили:</w:t>
      </w: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на содержание детей в семьях опекунов (попечителей) и приемных семьях - 49 человек на сумму 6 978,5 тыс. рублей;</w:t>
      </w: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на оплату жилого помещения сиротам - 20 человек на сумму 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                          240 тыс. рублей;</w:t>
      </w: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социальное пособие усыновителям при всех формах устройства -               36 человек на сумму 4 974 тыс. рублей;</w:t>
      </w: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вознаграждение по договору о приемной семье и оплату ЖКХ - 11 приемных родителей на сумму 2 234,8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тыс. рублей.</w:t>
      </w: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lastRenderedPageBreak/>
        <w:t xml:space="preserve">В соответствии с постановлением правительства Белгородской области от   22 июня 2020 г. № 273 «О предоставлении мер социальной защиты граждан, оказавшихся в трудной жизненной ситуации» в </w:t>
      </w:r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Чернянском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районе реализуется программа оказания государ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ственной социальной помощи на основании социального контракта.</w:t>
      </w: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Государственная социальная помощь на основании социального контракта за счет средств областного бюджета и субсидии из федерального бюджета на условиях </w:t>
      </w:r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оказана 186 семьям на сум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 39 516,72 тыс. рублей. Социальные контракты заключены по следующим направлениям: поиск работы – 52, осуществление индивидуальной предпринимательской деятельности – 70, ведение личного подсобного хозяйства – 58, осуществление иных мероприятий, направленн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ых на преодоление гражданином трудной жизненной ситуации – 6.</w:t>
      </w: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Выплаты по направлениям за  2024 год составили: поиск работы –    2 815,65 тыс. рублей, осуществление индивидуальной предпринимательской деятельности – 24 620 тыс. рублей, ведение личного подсоб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ного хозяйства – 11 600 тыс. рублей, осуществление иных мероприятий, направленных на преодоление гражданином трудной жизненной ситуации – 481,07 тыс. рублей.</w:t>
      </w: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23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КПЭ № 13. «Количество граждан,</w:t>
      </w: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23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старше 18 лет прошедших профилактические осмотры»</w:t>
      </w:r>
    </w:p>
    <w:p w:rsidR="00CF3BC2" w:rsidRDefault="00CF3BC2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Целевой показатель выполнен на 100%. Выполнение плана связано с выездом мобильных бригад на село, "Врачи в село". Лица проживающие в сельской местности, в том числе и лица старшего трудоспособного </w:t>
      </w:r>
      <w:proofErr w:type="gram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возраста</w:t>
      </w:r>
      <w:proofErr w:type="gram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смогли пройти комплексное обследование не выезжая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за пределы села. Проводились подворные обходы с целью привлечения лиц для прохождения профилактических медицинских осмотров.</w:t>
      </w:r>
    </w:p>
    <w:p w:rsidR="00CF3BC2" w:rsidRDefault="00CF3B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23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КПЭ № 14. «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Количество граждан,</w:t>
      </w: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23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старше 18 лет прошедших диспансеризацию»</w:t>
      </w: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Целевой показатель выполнен.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Большую роль в выполнении плана по диспансеризации в 2024 году сыграла информационная работа с населением о пользе прохождения диспансеризации, а так же с выездом "Врачи в село" по сельским поселениям. Лица проживающие в сельской местности, в том числе и л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ица старшего трудоспособного </w:t>
      </w:r>
      <w:proofErr w:type="gram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возраста</w:t>
      </w:r>
      <w:proofErr w:type="gram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смогли пройти комплексное обследование не выезжая за пределы села.</w:t>
      </w:r>
    </w:p>
    <w:p w:rsidR="00CF3BC2" w:rsidRDefault="00CF3BC2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КПЭ № 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«Выполнение плана профилактических прививок, включенных в национальный календарь»</w:t>
      </w: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pStyle w:val="a4"/>
        <w:spacing w:line="276" w:lineRule="auto"/>
        <w:ind w:firstLine="708"/>
        <w:jc w:val="both"/>
        <w:rPr>
          <w:rFonts w:ascii="Times New Roman" w:hAnsi="Times New Roman"/>
          <w:spacing w:val="-2"/>
          <w:sz w:val="24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Выполнение плана профилактических прививок перевыполнено на 9,6% </w:t>
      </w: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23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КПЭ № 16. «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Доля работающего населения, не вошедшего в план профилактических прививок, прошедшего вакцинацию против гриппа за счет работодателей»</w:t>
      </w:r>
    </w:p>
    <w:p w:rsidR="00CF3BC2" w:rsidRDefault="00CF3BC2">
      <w:pPr>
        <w:spacing w:after="0"/>
        <w:ind w:firstLine="720"/>
        <w:jc w:val="center"/>
      </w:pP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Целевой показатель выполнен в полном объем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е. Выполнение плана профилактических прививок за счет работодателя были выполнены в 2024 году за счет того, что своевременно были заключены договора с предприятиями, по закупке вакцины против гриппа и в </w:t>
      </w:r>
      <w:proofErr w:type="gram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том</w:t>
      </w:r>
      <w:proofErr w:type="gram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что проводилась работа с населением о необходимос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ти проведения вакцинации  против гриппа. В текущем году с работодателями также будут заключены  договора о закупке вакцины против гриппа.</w:t>
      </w: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КПЭ № 17. «Удельный вес численности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муниципального образования области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по основным образовательным программам основного общего и среднего общего образования, принявших участие</w:t>
      </w: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в региональном этапе всероссийской олимпиады школьников»</w:t>
      </w:r>
    </w:p>
    <w:p w:rsidR="00CF3BC2" w:rsidRDefault="00CF3B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Показатель выполнен в полном объеме. В </w:t>
      </w:r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Чернянском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районе создан центр по работе с одаренными детьми. На базе общеобразовательных организаций проводится работа с </w:t>
      </w:r>
      <w:proofErr w:type="gram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, показывающими повышенный уровень знаний по предметам.</w:t>
      </w: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КПЭ № 18. «Доля одаренных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 талантливых детей муниципального образования области, получивших адресную поддержку»</w:t>
      </w: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Мониторинг показателя осуществляется с 2024 года. Целевой показатель выполнен в полном объеме. В </w:t>
      </w:r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Чернянском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районе создан центр по работе с одаренными детьми. На базе о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бщеобразовательных организаций проводится работа с </w:t>
      </w:r>
      <w:proofErr w:type="gram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, показывающими повышенный уровень знаний по предметам.</w:t>
      </w: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КПЭ № 19. «Коэффициент реализации комплекса мер поддержки одаренных и талантливых детей на территории муниципального образования области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»</w:t>
      </w: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Мониторинг показателя осуществляется с 2024 года. Целевой </w:t>
      </w:r>
      <w:proofErr w:type="gram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показатель</w:t>
      </w:r>
      <w:proofErr w:type="gram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не достигнут в полном объеме т.к. в отчетном периоде не утверждена премия главы администрации. В </w:t>
      </w:r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Чернянском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районе утверждено решение муниципального совета "О мерах поддержки одаренных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детей, обучающихся в общеобразовательных организациях, расположенных на территории муниципального района «Чернянский  район» Белгородской области, и их наставников".</w:t>
      </w: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КПЭ № 20.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«Доля выпускников (обучающиеся 9 классов) общеобразовательных ор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ганизаций муниципального образования области, поступивших на программы среднего профессионального образования в профессиональные образовательные организации 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lastRenderedPageBreak/>
        <w:t>образовательные организации высшего образования, расположенные на территории Белгородской области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»</w:t>
      </w:r>
      <w:proofErr w:type="gramEnd"/>
    </w:p>
    <w:p w:rsidR="00CF3BC2" w:rsidRDefault="00CF3B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Целевое значение не достигнуто на 0,6%, поскольку часть выпускников выбрали обучение за пределами области. </w:t>
      </w:r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работа организуется в соответствии с муниципальной программой «Организация системы </w:t>
      </w:r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работы в образовательных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учреждениях «Чернянского района».</w:t>
      </w: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КПЭ № 21. «Доля выпускников (обучающихся 11 классов) общеобразовательных организаций муниципального образования области, поступивших на программы среднего профессионального образования в профессиональные образовательные 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рганизации и образовательные организации высшего образования, расположенные на территории Белгородской области»</w:t>
      </w:r>
    </w:p>
    <w:p w:rsidR="00CF3BC2" w:rsidRDefault="00CF3B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Целевой показатель не выполнен на 1,9% в связи </w:t>
      </w:r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стем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, что часть выпускников поступили в образовательные организации за пределами Белгородской об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ласти.</w:t>
      </w: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КПЭ № 22. «Доля учащихся 10 - 11 классов общеобразовательных организаций муниципального образования области, освоивших программы профессионального обучения»</w:t>
      </w: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Целевой показатель выполнен в полном объеме. Программы профессионального обучения осваиваю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т обучающиеся 10 и 11 классов на базе ОГАПОУ «Чернянский </w:t>
      </w:r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агромеханический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техникум» и МБОУ «</w:t>
      </w:r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Чернянская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СОШ №1 с УИОП» (программа «Младшая медицинская сестра по уходу за больными»).</w:t>
      </w:r>
    </w:p>
    <w:p w:rsidR="00CF3BC2" w:rsidRDefault="00CF3B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КПЭ № 23. «Доля выпускников медицинских классов в текущем календарном году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, поступивших в образовательные организации Белгородской области, реализующие программы высшего и среднего профессионального образования медицинского профиля, в том числе по целевому договору»</w:t>
      </w: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Целевой </w:t>
      </w:r>
      <w:proofErr w:type="gram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показатель</w:t>
      </w:r>
      <w:proofErr w:type="gram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 достигнут в полном объеме, все выпускники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медицинских классов поступили в образовательные организации Белгородской области.</w:t>
      </w:r>
    </w:p>
    <w:p w:rsidR="00CF3BC2" w:rsidRDefault="00CF3B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Обеспечение мероприятий по сокращению смертности и травматизма в результате дорожно-транспортных происшествий</w:t>
      </w:r>
    </w:p>
    <w:p w:rsidR="00CF3BC2" w:rsidRDefault="00CF3BC2">
      <w:pPr>
        <w:spacing w:after="0"/>
        <w:jc w:val="both"/>
      </w:pP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На территории района повысилась аварийность на автомобильных д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орогах. Зарегистрировано 22 дорожно-транспортных происшествий (2023 г. - 15), в которых 6 человек погибло (2023 г. - 3) и ранено 29 (2023 г. - 25). Динамика роста существенная. Общие характерные причины аварий ясны -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lastRenderedPageBreak/>
        <w:t>это вина водителей (превышение скорости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, выезд на встречную полосу движения и т.д.). В целях недопущения дальнейшего осложнения обстановки на дорогах, стараемся максимально охватить территорию в ходе еженедельных рейдовых мероприятий. Выявлено 84 случая управления транспортом в состоянии опьяне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ния. В результате удалось закрепить тенденцию сокращения аварий с участием нетрезвых водителей. </w:t>
      </w:r>
    </w:p>
    <w:p w:rsidR="00CF3BC2" w:rsidRDefault="00CF3BC2">
      <w:pPr>
        <w:spacing w:after="0"/>
        <w:jc w:val="both"/>
      </w:pP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КПЭ № 24. 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Уровень снижения смертности в результате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дорожно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           - транспортных происшествий на территории муниципального образования области в отчетном году, в расчете на 100000 человек населения»</w:t>
      </w:r>
    </w:p>
    <w:p w:rsidR="00CF3BC2" w:rsidRDefault="00CF3BC2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Целевой показатель не выполнен.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Увеличение показателя обусловлено тем, что на территории района увеличилось количество ДТП по  итогам отчетного года.</w:t>
      </w: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КПЭ № 25. «Доля обучающихся общеобразовательных организаций муниципального образования области, охваченных в отчетном году образовательны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ми программами по профилактике детского дорожно-транспортного травматизма»</w:t>
      </w:r>
    </w:p>
    <w:p w:rsidR="00CF3BC2" w:rsidRDefault="00CF3B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Целевой показатель выполнен на 1107,6%. В </w:t>
      </w:r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Чернянском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районе регулярно проводятся  профилактические беседы с обучающимися и родителями, встречи  обучающихся с сотрудниками полиции,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МЧС. Еженедельно на базах школ проводятся инструктажи по технике безопасности. </w:t>
      </w: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КПЭ № 26. «Доля приведенных в соответствие с требованиями национальных стандартов пешеходных переходов, расположенных вблизи школ и других учебных заведений муниципального 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азования области»</w:t>
      </w: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Целевой показатель выполнен на 120,9%, пешеходные переходы, расположенные </w:t>
      </w:r>
      <w:proofErr w:type="gram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в близи</w:t>
      </w:r>
      <w:proofErr w:type="gram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школ и других учебных заведений, приведены к национальным стандартам.</w:t>
      </w:r>
    </w:p>
    <w:p w:rsidR="00CF3BC2" w:rsidRDefault="00CF3BC2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КПЭ № 27. «Коэффициент реализации и эффективности мероприятий муниципальной программ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ы по безопасности дорожного движения, утвержденной в отчетном году, в расчете на 1 000 человек населения»</w:t>
      </w:r>
    </w:p>
    <w:p w:rsidR="00CF3BC2" w:rsidRDefault="00CF3BC2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CF3BC2" w:rsidRDefault="005F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Фактический показатель ниже целевого значения, что говорит об эффективности реализации программы. Показатель выполнен за счет исполнения мероприятий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инженерного характера, направленных на обеспечение безопасности дорожного движения и оказания первой медицинской помощи пострадавшим, а также проводимые мероприятия направлены на формирование правосознания участников дорожного движения.</w:t>
      </w: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Уровень качества жизни населения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t>»</w:t>
      </w:r>
    </w:p>
    <w:p w:rsidR="00CF3BC2" w:rsidRDefault="00CF3B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Чернянский район вовлечен в реализацию на территории района национального проекта «Демография».</w:t>
      </w: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Чернянском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районе успешно реализуется ряд программ, направленных на повышение уровня качества жизни населения.</w:t>
      </w: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Подпрограмма «Стимулирование развития жилищного строительства» государственной программы Белгородской области «Обеспечение доступным и комфортным жильем и коммунальными услугами жителей Белгородской области», муниципальная программа «Обеспечение доступным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и комфортным жильем, коммунальными услугами жителей Чернянского района Белгородской области» направлены на стимулирование жилищного строительства, в том числе индивидуального. Микрорайоны индивидуального жилищного строительства обеспечиваются инженерной ин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фраструктурой, автомобильными дорогами, оказывается финансово-кредитная поддержка застройщикам. </w:t>
      </w: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Развитие жилищно-коммунального хозяйства района проходит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br/>
        <w:t>в рамках подпрограммы «Обеспечение населения коммунальными услугами» муниципальной программы «Обеспече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ние комфортным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br/>
        <w:t>и доступным жильем, коммунальными услугами жителей Чернянского района Белгородской области» и подпрограммы «Благоустройство дворовых территорий многоквартирных домов, общественных и иных территорий соответствующего функционального назначени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я Чернянского района» муниципальной программы «Формирование современной городской среды на территории Чернянского района».</w:t>
      </w:r>
      <w:proofErr w:type="gramEnd"/>
    </w:p>
    <w:p w:rsidR="00CF3BC2" w:rsidRDefault="00CF3B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КПЭ № 28. «Доля медицинских работников (врачей), трудоустроенных в государственные учреждения здравоохранения Белгородской области,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обеспеченных жильем в рамках региональной программы Белгородской области "Обеспечение жильем медицинских работников государственных учреждений здравоохранения Белгородской области на 2021 - 2025 годы"»</w:t>
      </w:r>
    </w:p>
    <w:p w:rsidR="00CF3BC2" w:rsidRDefault="00CF3BC2">
      <w:pPr>
        <w:spacing w:after="0"/>
        <w:jc w:val="both"/>
      </w:pP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Целевой показатель выполнен в полном объеме. В рамка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х реализации программы "Обеспечение жильем медицинских работников государственных учреждений здравоохранения Белгородской области на 2021 - 2025 годы" все запланированные мероприятия выполнены.</w:t>
      </w: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КПЭ № 29. «Доля студентов, поступивших в медицинские 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тельные организации высшего образования Российской Федерации, включая ФГАОУ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"Белгородский государственный национальный исследовательский университет" (НИУ "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БелГУ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") (медицинские вузы), заключивших договор о целевом обучении на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lastRenderedPageBreak/>
        <w:t>медицинские специальности 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о программам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специалитета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, в котором министерство здравоохранения Белгородской области выступает заказчиком целевого обучения»</w:t>
      </w:r>
    </w:p>
    <w:p w:rsidR="00CF3BC2" w:rsidRDefault="00CF3B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Целевой показатель выполнен, в 2024 году 1  студент,  заключил договор о целевом </w:t>
      </w:r>
      <w:proofErr w:type="gram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обучении по специальности</w:t>
      </w:r>
      <w:proofErr w:type="gram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Лечебное дело  по про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граммам </w:t>
      </w:r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специалитета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, в котором министерство здравоохранения Белгородской области выступает заказчиком целевого обучения.</w:t>
      </w: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spacing w:after="0"/>
        <w:ind w:firstLine="720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КПЭ № 30. «Дол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я трудоустроенных выпускников медицинских вузов, завершивших в отчетном году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обучение по договору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о целевом обучении по программам ординатуры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специалитета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, в котором министерство здравоохранения Белгородской области выступает заказчиком целевого обучения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»</w:t>
      </w: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Целевой </w:t>
      </w:r>
      <w:proofErr w:type="gram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показатель</w:t>
      </w:r>
      <w:proofErr w:type="gram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не достигнут в полном объеме, в 2024 году трудоустроены 4  выпускника медицинских вузов, завершивших в отчетном году обучение по договору о целевом обучении по программам </w:t>
      </w:r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специалитета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. Один выпускник расторг договор о целевом обучении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, произведена компенсация социальных выплат на получение стипендии.</w:t>
      </w: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КПЭ № 31. «Естественный прирост населения»</w:t>
      </w:r>
    </w:p>
    <w:p w:rsidR="00CF3BC2" w:rsidRDefault="00CF3B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Демографическая ситуация в </w:t>
      </w:r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Чернянском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районе в целом характеризуется продолжающимся процессом естественной убыли населения. </w:t>
      </w: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Число </w:t>
      </w:r>
      <w:proofErr w:type="gram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родившихся</w:t>
      </w:r>
      <w:proofErr w:type="gram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а 2024 год увеличилось по сравнению с 2023 годом на 22 ребенка или на 12,2% и составило 202 человека. При этом общий коэффициент рождаемости за 2024 год  составил 7,0 родившихся на 1 000 человек населения. </w:t>
      </w: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Число умерших за 2024 год по сравнению с 2023 год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ом увеличилось на 17 человек или на 3,9% и составило 454 человека. Общий коэффициент смертности за 2024 год  составил 15,7 умерших на  1 000 человек населения. </w:t>
      </w: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Число зарегистрированных за отчетный период 2024 года в органах ЗАГС браков 164 единицы, число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разводов - 120 единиц. </w:t>
      </w: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По данным текущего учета за январь-декабрь 2024 года в </w:t>
      </w:r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Чернянском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районе на постоянное место жительства прибыло 807 человек, в том числе 392 – в городскую и 415 – в сельскую местность. Выбыло из района - 924 человека, 419 человек из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городской и 505 человек из сельской местности. Миграционная убыль населения за отчетный период составила 117 человек, из них в городской местности миграционная убыль - 27 человек, в сельской местности миграционная убыль - 90 человек. </w:t>
      </w: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spacing w:after="0"/>
        <w:ind w:firstLine="720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lastRenderedPageBreak/>
        <w:t>КПЭ № 32. «Количест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во семей в муниципальном образовании области, построивших индивидуальный жилой дом за счет собственных и заемных средств»</w:t>
      </w:r>
    </w:p>
    <w:p w:rsidR="00CF3BC2" w:rsidRDefault="00CF3B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Снижение показателя обусловлено увеличением процентной ставки ипотечного кредитования, ростом потребительских цен.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За январь-декабрь 2024 года населением за счет собственных и заемных средств построено и сдано в эксплуатацию 67 домой общей площадью 9 395 м</w:t>
      </w:r>
      <w:proofErr w:type="gram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.</w:t>
      </w: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Мероприятия по  реализации государственной программой Белгородской области «Обеспечение доступным и комфортным ж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ильем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br/>
        <w:t>и коммунальными услугами жителей Белгородской области» будут продолжены в 2025 году.</w:t>
      </w:r>
    </w:p>
    <w:p w:rsidR="00CF3BC2" w:rsidRDefault="00CF3BC2">
      <w:pPr>
        <w:spacing w:line="226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CF3BC2" w:rsidRDefault="005F169B">
      <w:pPr>
        <w:spacing w:after="0"/>
        <w:ind w:firstLine="720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КПЭ № 33. «Количество благоустроенных территорий»</w:t>
      </w: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показатель выполнен. Реализация государственной программы «Формирование современной городской среды на территории Белгородской области» в 2024 году.</w:t>
      </w: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КПЭ № 34. «Доля ликвидированных несанкционированных свалок»</w:t>
      </w: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показатель выполнен. Все выяв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ленные несанкционированные свалки на подведомственной территории ликвидированы.</w:t>
      </w: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КПЭ № 35.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«Доля объектов жилого фонда (многоквартирных домов), находящихся в управлении управляющих организаций, по которым ОМСУ утвержден экономически обоснованный разм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ер платы за содержание жилого помещения для собственников и нанимателей помещений многоквартирных домов,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»</w:t>
      </w:r>
      <w:proofErr w:type="gramEnd"/>
    </w:p>
    <w:p w:rsidR="00CF3BC2" w:rsidRDefault="00CF3BC2">
      <w:pPr>
        <w:pStyle w:val="12"/>
        <w:spacing w:line="276" w:lineRule="auto"/>
        <w:ind w:firstLine="708"/>
        <w:jc w:val="both"/>
        <w:rPr>
          <w:color w:val="000000" w:themeColor="text1"/>
          <w:sz w:val="28"/>
          <w:szCs w:val="28"/>
          <w:highlight w:val="white"/>
        </w:rPr>
      </w:pP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Показатель выполнен на 125%. На территории района  приняты НПА утверждающие экономически обоснованный размер платы за содержание жилого помещения для собственников и нанимателей помещений МКД  № 300-р от 27.05.2024 г. В 2024 году в районе реализовывалас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ь адресная программа капитального ремонта многоквартирных домов Белгородской области.</w:t>
      </w:r>
      <w:proofErr w:type="gram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В программу было включено 4 объекта, общей стоимостью                               10,82 млн рублей, в том числе: п. Чернянка, ул. Орджоникидзе, д. 5а; п. Чернянка, ул.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Орджоникидзе, д. 13; п. Чернянка, ул. Ленина, д. 98 а; </w:t>
      </w:r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ернянка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, ул. Школьная, д. 12.</w:t>
      </w: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lastRenderedPageBreak/>
        <w:t>КПЭ № 36. «Доля объектов жилого фонда (МКД), не находящихся на обслуживании в управляющих организациях, товарищеских обществах жилья, жилищно-строительных кооперативах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»</w:t>
      </w:r>
    </w:p>
    <w:p w:rsidR="00CF3BC2" w:rsidRDefault="00CF3BC2">
      <w:pPr>
        <w:pStyle w:val="12"/>
        <w:spacing w:line="276" w:lineRule="auto"/>
        <w:ind w:firstLine="708"/>
        <w:jc w:val="both"/>
        <w:rPr>
          <w:color w:val="000000" w:themeColor="text1"/>
          <w:sz w:val="28"/>
          <w:szCs w:val="28"/>
          <w:highlight w:val="white"/>
        </w:rPr>
      </w:pP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Показатель выполнен на 100%. Одним из способов управления МКД является непосредственное управление им собственниками помещений, который выбирается на общем собрании. В соответствии с п.1 ч.2 ст.161 Жилищного кодекса РФ выбор этого способа управления  во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зможен в случаях, когда количество квартир в доме не превышает 30.</w:t>
      </w: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КПЭ № 37. «Доля населения, обеспеченного качественной питьевой водой из систем централизованного водоснабжения»</w:t>
      </w: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Целевой показатель достигнут в полном </w:t>
      </w:r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объеме</w:t>
      </w:r>
      <w:proofErr w:type="gram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се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запланированные мероприяти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я по программе обеспечения чистой питьевой водой в 2024 году перенеслись на 2025 год, на общую сумму  2 729,8 тыс. </w:t>
      </w:r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, в том числе: 1.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ab/>
        <w:t>Проектирование водозаборной скважины с. Хитрово - 914,8 тыс. руб., 2.Проектирование строительства сетей водоснабжения п.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Чернянка -  1 815 тыс. руб.</w:t>
      </w: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Работа по обеспечению населения качественной питьевой водой будет продолжена в 2025 году. </w:t>
      </w: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КПЭ № 38. «Количество граждан, занимающихся добровольческой (волонтерской) деятельностью»</w:t>
      </w:r>
    </w:p>
    <w:p w:rsidR="00CF3BC2" w:rsidRDefault="00CF3BC2">
      <w:pPr>
        <w:pStyle w:val="12"/>
        <w:spacing w:line="276" w:lineRule="auto"/>
        <w:ind w:firstLine="708"/>
        <w:jc w:val="both"/>
        <w:rPr>
          <w:color w:val="000000" w:themeColor="text1"/>
          <w:sz w:val="28"/>
          <w:szCs w:val="28"/>
          <w:highlight w:val="white"/>
        </w:rPr>
      </w:pP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Целевой показатель выполнен. Активное вовлеч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ение населения в работу штаба. Рост количества участников из числа общеобразовательных учреждений района регулярная отгрузка гуманитарной помощи военнослужащим, участвующим в СВО. Организационная и финансовая помощь со стороны органов местного самоуправлен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ия. Консультационная помощь специалистов регионального уровня. Запланировано увеличение количество вовлеченных людей в добровольческую деятельность путем создания волонтерских групп разной направленности, а также пропаганды необходимости добровольческой де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ятельности путем привлечения действующих волонтеров.</w:t>
      </w: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КПЭ № 39. «Доля загруженности имеющихся на территории муниципального образования области, в том числе в сельской местности, спортивных сооружений: дворовых, общегородских, пришкольных, спортивных залов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общеобразовательных учреждений и других образовательных организаций (в том числе во внеурочное время), физкультурно-оздоровительных комплексов, бассейнов, ледовых арен и других спортивных сооружений»</w:t>
      </w: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lastRenderedPageBreak/>
        <w:t xml:space="preserve">Целевой показатель выполнен. </w:t>
      </w:r>
      <w:proofErr w:type="gram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Увеличение показателя  достигнуты путем реализации комплекса мероприятий, направленных на вовлечение жителей Чернянского района в занятия физической культурой и спортом, проведения мероприятий и соревнований по различным видам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спорта, открытия новых спортивных секций и реализации проекта "Дворовый тренер", а также реализации социальных проектов Портфеля проектов УФКС и МП в 2024 г.; реализации мероприятий ВФСК "ГТО".</w:t>
      </w:r>
      <w:proofErr w:type="gramEnd"/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КПЭ № 40. «Доля спортсменов, зачисленных в учреждения дополни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тельного образования сферы физической культуры и спорта, расположенных на территории муниципального образования области, информация о которых внесена в информационную систему "Мой Спорт" и соответствует требованиям передачи в Федеральную государственную 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формационную систему "Единая цифровая платформа "Физическая культура и спорт"»</w:t>
      </w: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Мониторинг показателя осуществляется с 2024 года. На территории Чернянского района нет учреждений работающих в информационной системе "Мой спорт".</w:t>
      </w: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КПЭ № 41. «Доля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тренеров-пре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подавателей учреждений дополнительного образования сферы физической культуры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и спорта, расположенных на территории муниципального образования области, информация о которых внесена в информационную систему "Мой Спорт" и соответствует требованиям передачи в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Федеральную государственную информационную систему "Единая цифровая платформа "Физическая культура и спорт"»</w:t>
      </w:r>
    </w:p>
    <w:p w:rsidR="00CF3BC2" w:rsidRDefault="00CF3BC2">
      <w:pPr>
        <w:pStyle w:val="12"/>
        <w:spacing w:line="276" w:lineRule="auto"/>
        <w:ind w:firstLine="708"/>
        <w:jc w:val="both"/>
        <w:rPr>
          <w:color w:val="000000" w:themeColor="text1"/>
          <w:sz w:val="28"/>
          <w:szCs w:val="28"/>
          <w:highlight w:val="white"/>
        </w:rPr>
      </w:pP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Мониторинг показателя осуществляется с 2024 года. На территории Чернянского района нет учреждений работающих в информационной системе "Мой спорт".</w:t>
      </w: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КПЭ № 42. «Доля посещений культурных мероприятий»</w:t>
      </w:r>
    </w:p>
    <w:p w:rsidR="00CF3BC2" w:rsidRDefault="00CF3BC2">
      <w:pPr>
        <w:pStyle w:val="12"/>
        <w:spacing w:line="276" w:lineRule="auto"/>
        <w:ind w:firstLine="708"/>
        <w:jc w:val="both"/>
        <w:rPr>
          <w:color w:val="000000" w:themeColor="text1"/>
          <w:sz w:val="28"/>
          <w:szCs w:val="28"/>
          <w:highlight w:val="white"/>
        </w:rPr>
      </w:pP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Целевой показатель выполнен в полном объеме. </w:t>
      </w:r>
      <w:proofErr w:type="gram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В отчетный период 2024 года работа проводилась в соответствии с муниципальной программой «Развитие и сохранение культуры  Чернянского района», в рамках которо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й решались задачи, направленные на модернизацию материально – технической базы культурно – досуговых учреждений района, создание условий для содержательного отдыха и творческого развития жителей района, на сохранение и популяризацию объектов историко-культ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урного наследия в воспитании подрастающего поколения, поддержку любительского художественного и декоративно-прикладного творчества</w:t>
      </w:r>
      <w:proofErr w:type="gram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, талантливых детей, проектную деятельность, обеспечение свободного доступа к информации через библиотечное обслуживание,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lastRenderedPageBreak/>
        <w:t>разв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итие музейного дела и сельского туризма, подготовку кадров для сферы культуры района. В 2024 году творческие силы работников культуры направлены на реализацию мероприятий, посвященных Году семьи, Дням воинской славы России, календарным, знаменательным и пр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офессиональным праздникам, юбилейным датам деятелей культуры и искусства. В 2024 году подведены итоги работы сферы культуры муниципальных образований в 2023 году. По итогам рейтингового соревнования управление культуры района заняло II место, в лидерах ока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зались и муниципальные учреждения культуры: </w:t>
      </w:r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Чернянская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центральная районная библиотека, Районный краеведческий музей заняли 1 место в областном рейтинговом соревновании, Детская школа искусств п. Чернянка – 2 место, </w:t>
      </w:r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Ездоченский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Дом ремесел и Детская школа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искусств с. </w:t>
      </w:r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Ездочное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 – 3 место.</w:t>
      </w:r>
    </w:p>
    <w:p w:rsidR="00CF3BC2" w:rsidRDefault="00CF3BC2">
      <w:pPr>
        <w:pStyle w:val="12"/>
        <w:spacing w:line="276" w:lineRule="auto"/>
        <w:jc w:val="both"/>
        <w:rPr>
          <w:color w:val="000000" w:themeColor="text1"/>
          <w:sz w:val="28"/>
          <w:szCs w:val="28"/>
          <w:highlight w:val="white"/>
        </w:rPr>
      </w:pPr>
    </w:p>
    <w:p w:rsidR="00CF3BC2" w:rsidRDefault="005F169B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КПЭ № 43. «Количество креативных (творческих) пространств»</w:t>
      </w:r>
    </w:p>
    <w:p w:rsidR="00CF3BC2" w:rsidRDefault="00CF3BC2">
      <w:pPr>
        <w:pStyle w:val="12"/>
        <w:spacing w:line="276" w:lineRule="auto"/>
        <w:ind w:firstLine="708"/>
        <w:jc w:val="both"/>
        <w:rPr>
          <w:color w:val="000000" w:themeColor="text1"/>
          <w:sz w:val="28"/>
          <w:szCs w:val="28"/>
          <w:highlight w:val="white"/>
        </w:rPr>
      </w:pP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Мониторинг осуществляется с 2024 года. За отчетный период создано 5 креативных пространств: креативное пространство на базе </w:t>
      </w:r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Морквинской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поселенчнской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библиотеки,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на базе Бородинского клуба - библиотеки "Хуторок", на базе ЦКР с. </w:t>
      </w:r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Ездочное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"</w:t>
      </w:r>
      <w:proofErr w:type="gram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Арт</w:t>
      </w:r>
      <w:proofErr w:type="gram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- светелка", в </w:t>
      </w:r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Малотроицком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сельском поседении - "АРТ - кузня", на базе </w:t>
      </w:r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Комаревцевского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клуба - библиотеки. </w:t>
      </w: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КПЭ № 44. «Количество проведенных ярмарок креативных индустрий, 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правленных на удовлетворение спроса населения на отечественную продукцию в области креативных (творческих) индустрий и повышение предложения указанной продукции, за отчетный год»</w:t>
      </w: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Мониторинг показателя осуществляется с 2024 года. Целевой показатель выполнен. За отчетный период проведены 2 ярмарки креативных индустрий, направленных на удовлетворение спроса населения на отечественную продукцию в области креативных индустрий.</w:t>
      </w:r>
    </w:p>
    <w:p w:rsidR="00CF3BC2" w:rsidRDefault="00CF3BC2">
      <w:pPr>
        <w:pStyle w:val="12"/>
        <w:spacing w:line="276" w:lineRule="auto"/>
        <w:ind w:firstLine="708"/>
        <w:jc w:val="both"/>
        <w:rPr>
          <w:color w:val="000000" w:themeColor="text1"/>
          <w:sz w:val="28"/>
          <w:szCs w:val="28"/>
          <w:highlight w:val="white"/>
        </w:rPr>
      </w:pPr>
    </w:p>
    <w:p w:rsidR="00CF3BC2" w:rsidRDefault="005F169B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Регионал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ьные общие КПЭ</w:t>
      </w: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КПЭ № 45. «Количество практик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цифровизации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»</w:t>
      </w: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Целевой показатель выполнен. За отчетный год исполнены ряд мероприятий запланированных в рамках реализации проекта «Оптимизация процесса приема отчетности и </w:t>
      </w:r>
      <w:proofErr w:type="gram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выполнением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гражданином мероприятий программы социальной адаптации, предусмотренных социальным контрактом в управлении социальной защиты населения Чернянского района».</w:t>
      </w: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lastRenderedPageBreak/>
        <w:t>КПЭ № 46. 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Доля решений, принятых с участием жителей муниципальных образований области через платформу обратной связи»</w:t>
      </w: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Показатель выполнен в полном объеме. Все решения принятые с участием жителей прошли через платформу обратной связи.</w:t>
      </w: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КПЭ № 47. «Доля публичных слуш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аний, проведенных с использованием платформы обратной связи»</w:t>
      </w: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Целевой показатель выполнен</w:t>
      </w:r>
      <w:proofErr w:type="gram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се публичные слушания проведены с использование платформы обратной связи, реализованной на Едином портале государственных услуг РФ.</w:t>
      </w: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КПЭ № 48. «Доля обращений и соо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бщений, поступивших в ОМСУ, обработанных с использованием механизмов ускоренного решения»</w:t>
      </w:r>
    </w:p>
    <w:p w:rsidR="00CF3BC2" w:rsidRDefault="00CF3B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Целевой показатель выполнен за счет отработки жалоб и обращений с использованием механизмов ускоренного решения в системе "</w:t>
      </w:r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Инцедент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Менеджмент"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, решение которых подтверждено фото или видеоматериалами.</w:t>
      </w: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КПЭ № 49. «Уровень эффективности реализации портфеля проектов »</w:t>
      </w: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Целевой показатель выполнен в полном объеме. В соответствии с утвержденным Портфелем проектов (Распоряжение администрации Чернянског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о района № 102/1-р от 01.03.2024г.  "Об утверждении портфеля проектов на 2024 год") за отчетный период из 12 новых проектов портфеля, 12 инициированы и переведены в реализацию без нарушения сроков  инициации и разработки проектной документации</w:t>
      </w:r>
      <w:proofErr w:type="gram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Все проекты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выполнялись без отклонений. Из 10 завершенных  проектов, 10 </w:t>
      </w:r>
      <w:proofErr w:type="gram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реализованы</w:t>
      </w:r>
      <w:proofErr w:type="gram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успешно, без отклонений. Портфель проектов реализован в полном объеме. Мониторинг осуществляется с 2024 года.</w:t>
      </w: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КПЭ № 50. «Обеспеченность администраций муниципальных образований област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 проектами высокого уровня сложности с последующей их реализацией в отчетном году»</w:t>
      </w: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Целевой показатель выполнен в полном объеме. </w:t>
      </w:r>
      <w:proofErr w:type="gram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В соответствии с утвержденным Портфелем проектов (Распоряжение администрации Чернянского района № 102/1-р от 01.03.2024г. "Об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утверждении портфеля проектов на 2024 год") из запланированных к инициации и  реализации  в 2024 году 12  новых проектов, инициировано 12  проектов высокого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lastRenderedPageBreak/>
        <w:t>уровня сложности по 12  приоритетным направлениям из них- 1 личный проект главы администрации район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а.</w:t>
      </w:r>
      <w:proofErr w:type="gram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Мониторинг осуществляется с 2024 года.</w:t>
      </w: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КПЭ № 51. «Обеспеченность администраций муниципальных образований области бережливыми проектами высокого уровня сложности с последующей их реализацией в отчетном году»</w:t>
      </w: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Целевой показатель выполнен в полном объеме.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В соответствии с утвержденным Портфелем проектов (Распоряжение администрации Чернянского района № 102/1-р от 01.03.2024г. "Об утверждении портфеля проектов на 2024 год")  из запланированных к инициации и  реализации  в 2024 году  12 новых проектов, иниции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ровано 3 бережливых проектов высокого уровня сложности по 3 приоритетным направлениям.</w:t>
      </w:r>
      <w:proofErr w:type="gram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Мониторинг осуществляется с 2024 года.</w:t>
      </w: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КПЭ № 52. «Удельный вес налоговых и неналоговых доходов консолидированного бюджета муниципального образования в общем объеме дохо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дов консолидированного бюджета муниципального образования области (в сопоставимых условиях)»</w:t>
      </w:r>
    </w:p>
    <w:p w:rsidR="00CF3BC2" w:rsidRDefault="00CF3B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Достижение данного показателя сложилось за счет увеличения налоговых поступлений по налогу на доходы физических лиц, в связи с  увеличением фонда оплаты труда на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предприятиях и организациях  Чернянского района, а также  за счет работы по легализации трудовых отношений. </w:t>
      </w:r>
    </w:p>
    <w:p w:rsidR="00CF3BC2" w:rsidRDefault="00CF3B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CF3BC2" w:rsidRDefault="005F169B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КПЭ № 53. «Доля жителей муниципального образования области, принявших в отчетном году участие в опросах населения с применением информационно-теле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коммуникационных сетей и информационных технологий по оценке эффективности деятельности руководителей ОМСУ и организаций»</w:t>
      </w:r>
    </w:p>
    <w:p w:rsidR="00CF3BC2" w:rsidRDefault="00CF3BC2">
      <w:pPr>
        <w:spacing w:after="0"/>
        <w:ind w:firstLine="720"/>
        <w:jc w:val="both"/>
      </w:pP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Целевой показатель выполнен. Рост показателя обусловлен увеличением активности жителей принявших участие в опросах.</w:t>
      </w:r>
    </w:p>
    <w:p w:rsidR="00CF3BC2" w:rsidRDefault="00CF3BC2">
      <w:pPr>
        <w:spacing w:after="0"/>
        <w:jc w:val="both"/>
      </w:pPr>
    </w:p>
    <w:p w:rsidR="00CF3BC2" w:rsidRDefault="005F169B">
      <w:pPr>
        <w:spacing w:after="0"/>
        <w:ind w:hanging="1"/>
        <w:jc w:val="center"/>
      </w:pPr>
      <w:r>
        <w:rPr>
          <w:rFonts w:ascii="Times New Roman" w:eastAsia="Times New Roman" w:hAnsi="Times New Roman" w:cs="Times New Roman"/>
          <w:b/>
          <w:position w:val="-1"/>
          <w:sz w:val="28"/>
        </w:rPr>
        <w:t>4. Результаты комплексной оценки</w:t>
      </w:r>
    </w:p>
    <w:p w:rsidR="00CF3BC2" w:rsidRDefault="005F169B">
      <w:pPr>
        <w:spacing w:after="0"/>
        <w:ind w:hanging="1"/>
        <w:jc w:val="center"/>
      </w:pPr>
      <w:r>
        <w:rPr>
          <w:rFonts w:ascii="Times New Roman" w:eastAsia="Times New Roman" w:hAnsi="Times New Roman" w:cs="Times New Roman"/>
          <w:b/>
          <w:position w:val="-1"/>
          <w:sz w:val="28"/>
        </w:rPr>
        <w:t>эффективности деятельности ОМСУ</w:t>
      </w:r>
    </w:p>
    <w:p w:rsidR="00CF3BC2" w:rsidRDefault="005F169B">
      <w:pPr>
        <w:spacing w:after="0"/>
        <w:ind w:hanging="1"/>
        <w:jc w:val="center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Чернянского района за отчетный 2024 год</w:t>
      </w:r>
    </w:p>
    <w:p w:rsidR="00CF3BC2" w:rsidRDefault="00CF3BC2">
      <w:pPr>
        <w:spacing w:after="0"/>
        <w:ind w:hanging="1"/>
        <w:jc w:val="center"/>
      </w:pP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Анализ достигнутых значений показателей эффективности деятельности управленческой команды органов местного самоуправления муниципального района «Черня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нский район» Белгородской области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br/>
        <w:t xml:space="preserve">за 2024 год показал, что утвержденные  постановлением Губернатора Белгородской области 29 августа 2024 года № 130 «О мониторинге и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lastRenderedPageBreak/>
        <w:t>оценке достигнутых значений ключевых показателей эффективности деятельности управленческих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команд органов местного самоуправления муниципальных, городских округов и муниципальных районов Белгородской области» ключевые показатели эффективности в основном</w:t>
      </w:r>
      <w:proofErr w:type="gram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выполнены. Реализация потенциала социально-экономического развития Чернянского района опреде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ляется не только ожидаемым изменением сценарных условий развития района, но и макроэкономическими факторами.</w:t>
      </w: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В плановом периоде управленческой команде следует провести мероприятия, направленные на улучшение демографической ситуации,  эффективность мероприя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тий муниципальной программы по безопасности дорожного движения, раннее выявление заболеваний у населения, проведение вакцинации населения, популяризацию рабочих профессий.</w:t>
      </w: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Приоритетные задачи на 2025 год:</w:t>
      </w: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- повышение инвестиционной активности в районе;</w:t>
      </w: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- п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ривлечение трудовых ресурсов, особенно в сельские территории;</w:t>
      </w: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- создание новых рабочих мест;</w:t>
      </w: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- развитие туристского кластера «Холки»;</w:t>
      </w: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- совершенствование социальной инфраструктуры и благоустройство всех населенных пунктов района.</w:t>
      </w:r>
    </w:p>
    <w:bookmarkEnd w:id="0"/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Развитие района в плановом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периоде будет происходить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br/>
        <w:t xml:space="preserve">в соответствии со Стратегией социально-экономического развития муниципального района «Чернянский район» Белгородской области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br/>
        <w:t>до 2025 года, Планом мероприятий  по реализации стратегии социально-экономического развития муниципаль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ного района «Чернянский район» Белгородской области» с учетом складывающейся ситуации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br/>
        <w:t>и приоритетов, в национальных проектах, в федеральных и региональных документах с ориентиром на повышение инвестиционной привлекательности территории, обеспечение конкуре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нтоспособности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br/>
        <w:t>и эффективности</w:t>
      </w:r>
      <w:proofErr w:type="gram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бизнеса, успешную реализацию социально значимых проектов по созданию комфортных условий для жителей и безусловное исполнение всех социальных обязательств.  </w:t>
      </w:r>
    </w:p>
    <w:p w:rsidR="00CF3BC2" w:rsidRDefault="005F16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Управленческая команда органов местного самоуправления муниципально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го района «Чернянский район» Белгородской области нацелена на выполнение целевых ключевых показателей эффективности на 2025 год.</w:t>
      </w:r>
    </w:p>
    <w:p w:rsidR="00CF3BC2" w:rsidRDefault="00CF3BC2">
      <w:pPr>
        <w:spacing w:after="0"/>
        <w:ind w:firstLine="720"/>
        <w:jc w:val="both"/>
      </w:pPr>
    </w:p>
    <w:sectPr w:rsidR="00CF3BC2">
      <w:pgSz w:w="11906" w:h="16838"/>
      <w:pgMar w:top="567" w:right="1134" w:bottom="1084" w:left="1701" w:header="567" w:footer="1084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BC2" w:rsidRDefault="005F169B">
      <w:pPr>
        <w:spacing w:after="0" w:line="240" w:lineRule="auto"/>
      </w:pPr>
      <w:r>
        <w:separator/>
      </w:r>
    </w:p>
  </w:endnote>
  <w:endnote w:type="continuationSeparator" w:id="0">
    <w:p w:rsidR="00CF3BC2" w:rsidRDefault="005F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">
    <w:charset w:val="00"/>
    <w:family w:val="auto"/>
    <w:pitch w:val="default"/>
  </w:font>
  <w:font w:name="Lohit Devanagari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BC2" w:rsidRDefault="005F169B">
      <w:pPr>
        <w:spacing w:after="0" w:line="240" w:lineRule="auto"/>
      </w:pPr>
      <w:r>
        <w:separator/>
      </w:r>
    </w:p>
  </w:footnote>
  <w:footnote w:type="continuationSeparator" w:id="0">
    <w:p w:rsidR="00CF3BC2" w:rsidRDefault="005F1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90A0D"/>
    <w:multiLevelType w:val="hybridMultilevel"/>
    <w:tmpl w:val="698483C2"/>
    <w:lvl w:ilvl="0" w:tplc="44A4BE72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D26E3C4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AE14A47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1A12719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25128D1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0C92AAD2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A67A475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E022FA5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D586289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">
    <w:nsid w:val="5AC57233"/>
    <w:multiLevelType w:val="hybridMultilevel"/>
    <w:tmpl w:val="D428AEAC"/>
    <w:lvl w:ilvl="0" w:tplc="A1B2B052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D52C966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3F2AB620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69AEB5D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EAB4BBD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6AE656A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68B08B3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5F7479C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6B0AD7C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">
    <w:nsid w:val="5FC26BBF"/>
    <w:multiLevelType w:val="hybridMultilevel"/>
    <w:tmpl w:val="AD38DE94"/>
    <w:lvl w:ilvl="0" w:tplc="990CE966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8A1010E2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09BA69E6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F4642DD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EE6403DE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A43ADCDE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D4ECF9D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2CDC72D0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346CA228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3">
    <w:nsid w:val="7FF83147"/>
    <w:multiLevelType w:val="hybridMultilevel"/>
    <w:tmpl w:val="3E3E2632"/>
    <w:lvl w:ilvl="0" w:tplc="9E523B0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  <w:color w:val="000000" w:themeColor="text1"/>
        <w:highlight w:val="white"/>
      </w:rPr>
    </w:lvl>
    <w:lvl w:ilvl="1" w:tplc="705263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6CE85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07004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BEE23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D5EB5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1C1E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1B69F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F143B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C2"/>
    <w:rsid w:val="005F169B"/>
    <w:rsid w:val="00CF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af4">
    <w:name w:val="Верхний колонтитул Знак"/>
    <w:basedOn w:val="a0"/>
    <w:link w:val="af5"/>
    <w:uiPriority w:val="99"/>
    <w:qFormat/>
  </w:style>
  <w:style w:type="character" w:customStyle="1" w:styleId="af6">
    <w:name w:val="Нижний колонтитул Знак"/>
    <w:basedOn w:val="a0"/>
    <w:link w:val="af7"/>
    <w:uiPriority w:val="99"/>
    <w:qFormat/>
  </w:style>
  <w:style w:type="paragraph" w:customStyle="1" w:styleId="Heading">
    <w:name w:val="Heading"/>
    <w:basedOn w:val="a"/>
    <w:next w:val="af8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8">
    <w:name w:val="Body Text"/>
    <w:basedOn w:val="a"/>
    <w:pPr>
      <w:spacing w:after="140"/>
    </w:pPr>
  </w:style>
  <w:style w:type="paragraph" w:styleId="af9">
    <w:name w:val="List"/>
    <w:basedOn w:val="af8"/>
    <w:rPr>
      <w:rFonts w:cs="Lohit Devanagari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afb">
    <w:name w:val="Содержимое врезки"/>
    <w:basedOn w:val="a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f5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f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semiHidden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af4">
    <w:name w:val="Верхний колонтитул Знак"/>
    <w:basedOn w:val="a0"/>
    <w:link w:val="af5"/>
    <w:uiPriority w:val="99"/>
    <w:qFormat/>
  </w:style>
  <w:style w:type="character" w:customStyle="1" w:styleId="af6">
    <w:name w:val="Нижний колонтитул Знак"/>
    <w:basedOn w:val="a0"/>
    <w:link w:val="af7"/>
    <w:uiPriority w:val="99"/>
    <w:qFormat/>
  </w:style>
  <w:style w:type="paragraph" w:customStyle="1" w:styleId="Heading">
    <w:name w:val="Heading"/>
    <w:basedOn w:val="a"/>
    <w:next w:val="af8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8">
    <w:name w:val="Body Text"/>
    <w:basedOn w:val="a"/>
    <w:pPr>
      <w:spacing w:after="140"/>
    </w:pPr>
  </w:style>
  <w:style w:type="paragraph" w:styleId="af9">
    <w:name w:val="List"/>
    <w:basedOn w:val="af8"/>
    <w:rPr>
      <w:rFonts w:cs="Lohit Devanagari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afb">
    <w:name w:val="Содержимое врезки"/>
    <w:basedOn w:val="a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f5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f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semiHidden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11749</Words>
  <Characters>66974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главы (Региональный сбор) - без текстовой части</vt:lpstr>
    </vt:vector>
  </TitlesOfParts>
  <Company>2024.4.5 from 22 November 2024, Java</Company>
  <LinksUpToDate>false</LinksUpToDate>
  <CharactersWithSpaces>78566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главы (Региональный сбор) - без текстовой части</dc:title>
  <dc:subject>Доклад главы (Региональный сбор).docx</dc:subject>
  <dc:creator>User</dc:creator>
  <cp:lastModifiedBy>User</cp:lastModifiedBy>
  <cp:revision>2</cp:revision>
  <dcterms:created xsi:type="dcterms:W3CDTF">2025-03-24T10:50:00Z</dcterms:created>
  <dcterms:modified xsi:type="dcterms:W3CDTF">2025-03-24T10:50:00Z</dcterms:modified>
</cp:coreProperties>
</file>